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97" w:rsidRPr="005323E4" w:rsidRDefault="001B6597" w:rsidP="001B6597">
      <w:pPr>
        <w:spacing w:line="360" w:lineRule="auto"/>
        <w:jc w:val="both"/>
        <w:rPr>
          <w:rFonts w:ascii="Palatino Linotype" w:hAnsi="Palatino Linotype" w:cs="Arial"/>
        </w:rPr>
      </w:pPr>
      <w:r w:rsidRPr="005323E4">
        <w:rPr>
          <w:rFonts w:ascii="Palatino Linotype" w:hAnsi="Palatino Linotype" w:cs="Arial"/>
          <w:b/>
        </w:rPr>
        <w:t xml:space="preserve">VOTO </w:t>
      </w:r>
      <w:r>
        <w:rPr>
          <w:rFonts w:ascii="Palatino Linotype" w:hAnsi="Palatino Linotype" w:cs="Arial"/>
          <w:b/>
        </w:rPr>
        <w:t>PARTICULAR</w:t>
      </w:r>
      <w:r w:rsidRPr="005323E4">
        <w:rPr>
          <w:rFonts w:ascii="Palatino Linotype" w:hAnsi="Palatino Linotype" w:cs="Arial"/>
          <w:b/>
        </w:rPr>
        <w:t xml:space="preserve"> DEL COMISIONADO JOSÉ GUADALUPE LUNA HERNÁNDEZ EN EL RECURSO DE REVISIÓN 02</w:t>
      </w:r>
      <w:r>
        <w:rPr>
          <w:rFonts w:ascii="Palatino Linotype" w:hAnsi="Palatino Linotype" w:cs="Arial"/>
          <w:b/>
        </w:rPr>
        <w:t>9</w:t>
      </w:r>
      <w:r w:rsidR="00B02869">
        <w:rPr>
          <w:rFonts w:ascii="Palatino Linotype" w:hAnsi="Palatino Linotype" w:cs="Arial"/>
          <w:b/>
        </w:rPr>
        <w:t>5</w:t>
      </w:r>
      <w:r>
        <w:rPr>
          <w:rFonts w:ascii="Palatino Linotype" w:hAnsi="Palatino Linotype" w:cs="Arial"/>
          <w:b/>
        </w:rPr>
        <w:t>4</w:t>
      </w:r>
      <w:r w:rsidRPr="005323E4">
        <w:rPr>
          <w:rFonts w:ascii="Palatino Linotype" w:hAnsi="Palatino Linotype" w:cs="Arial"/>
          <w:b/>
        </w:rPr>
        <w:t>/INFOEM/IP/RR/2018.</w:t>
      </w:r>
    </w:p>
    <w:p w:rsidR="001B6597" w:rsidRPr="004F719D" w:rsidRDefault="001B6597" w:rsidP="001B6597">
      <w:pPr>
        <w:spacing w:line="360" w:lineRule="auto"/>
        <w:jc w:val="both"/>
        <w:rPr>
          <w:rFonts w:ascii="Palatino Linotype" w:hAnsi="Palatino Linotype" w:cs="Arial"/>
          <w:b/>
          <w:i/>
        </w:rPr>
      </w:pPr>
    </w:p>
    <w:p w:rsidR="001B6597" w:rsidRDefault="001B6597" w:rsidP="001B6597">
      <w:pPr>
        <w:spacing w:line="360" w:lineRule="auto"/>
        <w:jc w:val="both"/>
        <w:rPr>
          <w:rFonts w:ascii="Palatino Linotype" w:hAnsi="Palatino Linotype" w:cs="Arial"/>
          <w:b/>
        </w:rPr>
      </w:pPr>
      <w:r w:rsidRPr="004F719D">
        <w:rPr>
          <w:rFonts w:ascii="Palatino Linotype" w:hAnsi="Palatino Linotype" w:cs="Arial"/>
          <w:b/>
        </w:rPr>
        <w:t>RESUMEN DEL VOTO</w:t>
      </w:r>
    </w:p>
    <w:p w:rsidR="001B6597" w:rsidRPr="004F719D" w:rsidRDefault="001B6597" w:rsidP="001B6597">
      <w:pPr>
        <w:spacing w:line="360" w:lineRule="auto"/>
        <w:jc w:val="both"/>
        <w:rPr>
          <w:rFonts w:ascii="Palatino Linotype" w:hAnsi="Palatino Linotype" w:cs="Arial"/>
          <w:b/>
          <w:bdr w:val="none" w:sz="0" w:space="0" w:color="auto"/>
        </w:rPr>
      </w:pPr>
    </w:p>
    <w:p w:rsidR="001B6597" w:rsidRDefault="001B6597" w:rsidP="001B6597">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1B6597" w:rsidRDefault="001B6597" w:rsidP="001B6597">
      <w:pPr>
        <w:spacing w:line="360" w:lineRule="auto"/>
        <w:jc w:val="both"/>
        <w:rPr>
          <w:rFonts w:ascii="Palatino Linotype" w:hAnsi="Palatino Linotype" w:cs="Arial"/>
        </w:rPr>
      </w:pPr>
    </w:p>
    <w:p w:rsidR="001B6597" w:rsidRDefault="001B6597" w:rsidP="001B6597">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1B6597" w:rsidRPr="009A406D" w:rsidRDefault="001B6597" w:rsidP="001B6597">
      <w:pPr>
        <w:spacing w:line="360" w:lineRule="auto"/>
        <w:jc w:val="both"/>
        <w:rPr>
          <w:rFonts w:ascii="Palatino Linotype" w:hAnsi="Palatino Linotype" w:cs="Arial"/>
        </w:rPr>
      </w:pPr>
    </w:p>
    <w:p w:rsidR="001B6597" w:rsidRDefault="001B6597" w:rsidP="001B6597">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1B6597" w:rsidRPr="00CC0EC5" w:rsidRDefault="001B6597" w:rsidP="001B6597">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1B6597" w:rsidRPr="004F719D" w:rsidRDefault="001B6597" w:rsidP="001B6597">
          <w:pPr>
            <w:spacing w:line="360" w:lineRule="auto"/>
            <w:rPr>
              <w:rFonts w:ascii="Palatino Linotype" w:hAnsi="Palatino Linotype"/>
              <w:color w:val="2E74B5" w:themeColor="accent1" w:themeShade="BF"/>
              <w:lang w:val="es-ES"/>
            </w:rPr>
          </w:pPr>
        </w:p>
        <w:p w:rsidR="001B6597" w:rsidRPr="004F719D" w:rsidRDefault="001B6597" w:rsidP="001B6597">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t>ÍNDICE</w:t>
          </w:r>
        </w:p>
        <w:p w:rsidR="001B6597" w:rsidRPr="004F719D" w:rsidRDefault="001B6597" w:rsidP="001B6597">
          <w:pPr>
            <w:spacing w:line="360" w:lineRule="auto"/>
            <w:rPr>
              <w:rFonts w:ascii="Palatino Linotype" w:hAnsi="Palatino Linotype"/>
              <w:b/>
              <w:lang w:val="es-ES" w:eastAsia="es-MX"/>
            </w:rPr>
          </w:pPr>
        </w:p>
        <w:p w:rsidR="001B6597" w:rsidRPr="00075028" w:rsidRDefault="001B6597" w:rsidP="001B6597">
          <w:pPr>
            <w:pStyle w:val="TDC1"/>
            <w:rPr>
              <w:rFonts w:asciiTheme="minorHAnsi" w:eastAsiaTheme="minorEastAsia" w:hAnsiTheme="minorHAnsi" w:cstheme="minorBidi"/>
              <w:b/>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25561035" w:history="1">
            <w:r w:rsidRPr="00075028">
              <w:rPr>
                <w:rStyle w:val="Hipervnculo"/>
                <w:noProof/>
              </w:rPr>
              <w:t>I. Consideraciones Generales</w:t>
            </w:r>
            <w:r w:rsidRPr="00075028">
              <w:rPr>
                <w:b/>
                <w:noProof/>
                <w:webHidden/>
              </w:rPr>
              <w:tab/>
            </w:r>
            <w:r w:rsidRPr="00075028">
              <w:rPr>
                <w:b/>
                <w:noProof/>
                <w:webHidden/>
              </w:rPr>
              <w:fldChar w:fldCharType="begin"/>
            </w:r>
            <w:r w:rsidRPr="00075028">
              <w:rPr>
                <w:b/>
                <w:noProof/>
                <w:webHidden/>
              </w:rPr>
              <w:instrText xml:space="preserve"> PAGEREF _Toc525561035 \h </w:instrText>
            </w:r>
            <w:r w:rsidRPr="00075028">
              <w:rPr>
                <w:b/>
                <w:noProof/>
                <w:webHidden/>
              </w:rPr>
            </w:r>
            <w:r w:rsidRPr="00075028">
              <w:rPr>
                <w:b/>
                <w:noProof/>
                <w:webHidden/>
              </w:rPr>
              <w:fldChar w:fldCharType="separate"/>
            </w:r>
            <w:r>
              <w:rPr>
                <w:b/>
                <w:noProof/>
                <w:webHidden/>
              </w:rPr>
              <w:t>3</w:t>
            </w:r>
            <w:r w:rsidRPr="00075028">
              <w:rPr>
                <w:b/>
                <w:noProof/>
                <w:webHidden/>
              </w:rPr>
              <w:fldChar w:fldCharType="end"/>
            </w:r>
          </w:hyperlink>
        </w:p>
        <w:p w:rsidR="001B6597" w:rsidRPr="00075028" w:rsidRDefault="002952B3" w:rsidP="001B6597">
          <w:pPr>
            <w:pStyle w:val="TDC1"/>
            <w:rPr>
              <w:rFonts w:asciiTheme="minorHAnsi" w:eastAsiaTheme="minorEastAsia" w:hAnsiTheme="minorHAnsi" w:cstheme="minorBidi"/>
              <w:b/>
              <w:noProof/>
              <w:sz w:val="22"/>
              <w:szCs w:val="22"/>
              <w:bdr w:val="none" w:sz="0" w:space="0" w:color="auto"/>
              <w:lang w:eastAsia="es-MX"/>
            </w:rPr>
          </w:pPr>
          <w:hyperlink w:anchor="_Toc525561036" w:history="1">
            <w:r w:rsidR="001B6597" w:rsidRPr="00075028">
              <w:rPr>
                <w:rStyle w:val="Hipervnculo"/>
                <w:noProof/>
              </w:rPr>
              <w:t>II.</w:t>
            </w:r>
            <w:r w:rsidR="001B6597" w:rsidRPr="00075028">
              <w:rPr>
                <w:rFonts w:asciiTheme="minorHAnsi" w:eastAsiaTheme="minorEastAsia" w:hAnsiTheme="minorHAnsi" w:cstheme="minorBidi"/>
                <w:b/>
                <w:noProof/>
                <w:sz w:val="22"/>
                <w:szCs w:val="22"/>
                <w:bdr w:val="none" w:sz="0" w:space="0" w:color="auto"/>
                <w:lang w:eastAsia="es-MX"/>
              </w:rPr>
              <w:tab/>
            </w:r>
            <w:r w:rsidR="001B6597" w:rsidRPr="00075028">
              <w:rPr>
                <w:rStyle w:val="Hipervnculo"/>
                <w:noProof/>
              </w:rPr>
              <w:t>De los requerimientos planteados en el recurso de revisión.</w:t>
            </w:r>
            <w:r w:rsidR="001B6597" w:rsidRPr="00075028">
              <w:rPr>
                <w:b/>
                <w:noProof/>
                <w:webHidden/>
              </w:rPr>
              <w:tab/>
            </w:r>
            <w:r w:rsidR="001B6597" w:rsidRPr="00075028">
              <w:rPr>
                <w:b/>
                <w:noProof/>
                <w:webHidden/>
              </w:rPr>
              <w:fldChar w:fldCharType="begin"/>
            </w:r>
            <w:r w:rsidR="001B6597" w:rsidRPr="00075028">
              <w:rPr>
                <w:b/>
                <w:noProof/>
                <w:webHidden/>
              </w:rPr>
              <w:instrText xml:space="preserve"> PAGEREF _Toc525561036 \h </w:instrText>
            </w:r>
            <w:r w:rsidR="001B6597" w:rsidRPr="00075028">
              <w:rPr>
                <w:b/>
                <w:noProof/>
                <w:webHidden/>
              </w:rPr>
            </w:r>
            <w:r w:rsidR="001B6597" w:rsidRPr="00075028">
              <w:rPr>
                <w:b/>
                <w:noProof/>
                <w:webHidden/>
              </w:rPr>
              <w:fldChar w:fldCharType="separate"/>
            </w:r>
            <w:r w:rsidR="001B6597">
              <w:rPr>
                <w:b/>
                <w:noProof/>
                <w:webHidden/>
              </w:rPr>
              <w:t>4</w:t>
            </w:r>
            <w:r w:rsidR="001B6597" w:rsidRPr="00075028">
              <w:rPr>
                <w:b/>
                <w:noProof/>
                <w:webHidden/>
              </w:rPr>
              <w:fldChar w:fldCharType="end"/>
            </w:r>
          </w:hyperlink>
        </w:p>
        <w:p w:rsidR="001B6597" w:rsidRPr="00075028" w:rsidRDefault="002952B3" w:rsidP="001B6597">
          <w:pPr>
            <w:pStyle w:val="TDC1"/>
            <w:rPr>
              <w:rFonts w:asciiTheme="minorHAnsi" w:eastAsiaTheme="minorEastAsia" w:hAnsiTheme="minorHAnsi" w:cstheme="minorBidi"/>
              <w:b/>
              <w:noProof/>
              <w:sz w:val="22"/>
              <w:szCs w:val="22"/>
              <w:bdr w:val="none" w:sz="0" w:space="0" w:color="auto"/>
              <w:lang w:eastAsia="es-MX"/>
            </w:rPr>
          </w:pPr>
          <w:hyperlink w:anchor="_Toc525561037" w:history="1">
            <w:r w:rsidR="001B6597" w:rsidRPr="00075028">
              <w:rPr>
                <w:rStyle w:val="Hipervnculo"/>
                <w:noProof/>
              </w:rPr>
              <w:t>III.</w:t>
            </w:r>
            <w:r w:rsidR="001B6597" w:rsidRPr="00075028">
              <w:rPr>
                <w:rFonts w:asciiTheme="minorHAnsi" w:eastAsiaTheme="minorEastAsia" w:hAnsiTheme="minorHAnsi" w:cstheme="minorBidi"/>
                <w:b/>
                <w:noProof/>
                <w:sz w:val="22"/>
                <w:szCs w:val="22"/>
                <w:bdr w:val="none" w:sz="0" w:space="0" w:color="auto"/>
                <w:lang w:eastAsia="es-MX"/>
              </w:rPr>
              <w:tab/>
            </w:r>
            <w:r w:rsidR="001B6597" w:rsidRPr="00075028">
              <w:rPr>
                <w:rStyle w:val="Hipervnculo"/>
                <w:noProof/>
              </w:rPr>
              <w:t>De la respuesta del Sujeto Obligado.</w:t>
            </w:r>
            <w:r w:rsidR="001B6597" w:rsidRPr="00075028">
              <w:rPr>
                <w:b/>
                <w:noProof/>
                <w:webHidden/>
              </w:rPr>
              <w:tab/>
            </w:r>
            <w:r w:rsidR="001B6597" w:rsidRPr="00075028">
              <w:rPr>
                <w:b/>
                <w:noProof/>
                <w:webHidden/>
              </w:rPr>
              <w:fldChar w:fldCharType="begin"/>
            </w:r>
            <w:r w:rsidR="001B6597" w:rsidRPr="00075028">
              <w:rPr>
                <w:b/>
                <w:noProof/>
                <w:webHidden/>
              </w:rPr>
              <w:instrText xml:space="preserve"> PAGEREF _Toc525561037 \h </w:instrText>
            </w:r>
            <w:r w:rsidR="001B6597" w:rsidRPr="00075028">
              <w:rPr>
                <w:b/>
                <w:noProof/>
                <w:webHidden/>
              </w:rPr>
            </w:r>
            <w:r w:rsidR="001B6597" w:rsidRPr="00075028">
              <w:rPr>
                <w:b/>
                <w:noProof/>
                <w:webHidden/>
              </w:rPr>
              <w:fldChar w:fldCharType="separate"/>
            </w:r>
            <w:r w:rsidR="001B6597">
              <w:rPr>
                <w:b/>
                <w:noProof/>
                <w:webHidden/>
              </w:rPr>
              <w:t>8</w:t>
            </w:r>
            <w:r w:rsidR="001B6597" w:rsidRPr="00075028">
              <w:rPr>
                <w:b/>
                <w:noProof/>
                <w:webHidden/>
              </w:rPr>
              <w:fldChar w:fldCharType="end"/>
            </w:r>
          </w:hyperlink>
        </w:p>
        <w:p w:rsidR="001B6597" w:rsidRPr="004F719D" w:rsidRDefault="001B6597" w:rsidP="001B6597">
          <w:pPr>
            <w:spacing w:line="360" w:lineRule="auto"/>
            <w:rPr>
              <w:rFonts w:ascii="Palatino Linotype" w:hAnsi="Palatino Linotype"/>
              <w:b/>
              <w:bCs/>
              <w:color w:val="000000" w:themeColor="text1"/>
            </w:rPr>
          </w:pPr>
          <w:r w:rsidRPr="00075028">
            <w:rPr>
              <w:rFonts w:ascii="Palatino Linotype" w:hAnsi="Palatino Linotype"/>
              <w:b/>
              <w:bCs/>
              <w:color w:val="000000" w:themeColor="text1"/>
            </w:rPr>
            <w:fldChar w:fldCharType="end"/>
          </w:r>
        </w:p>
      </w:sdtContent>
    </w:sdt>
    <w:p w:rsidR="001B6597" w:rsidRPr="004F719D" w:rsidRDefault="001B6597" w:rsidP="001B65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25561035"/>
      <w:r w:rsidRPr="004F719D">
        <w:rPr>
          <w:rFonts w:ascii="Palatino Linotype" w:eastAsiaTheme="majorEastAsia" w:hAnsi="Palatino Linotype" w:cstheme="majorBidi"/>
          <w:b/>
        </w:rPr>
        <w:t>I. Consideraciones Generales</w:t>
      </w:r>
      <w:bookmarkEnd w:id="0"/>
      <w:bookmarkEnd w:id="1"/>
    </w:p>
    <w:p w:rsidR="001B6597" w:rsidRPr="004F719D"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1B6597" w:rsidRPr="00924DF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eastAsia="Times New Roman" w:hAnsi="Palatino Linotype" w:cs="Arial"/>
          <w:lang w:val="es-ES_tradnl"/>
        </w:rPr>
        <w:t xml:space="preserve">He concurrido con mi voto </w:t>
      </w:r>
      <w:r>
        <w:rPr>
          <w:rFonts w:ascii="Palatino Linotype" w:eastAsia="Times New Roman" w:hAnsi="Palatino Linotype" w:cs="Arial"/>
          <w:lang w:val="es-ES_tradnl"/>
        </w:rPr>
        <w:t xml:space="preserve">particular </w:t>
      </w:r>
      <w:r w:rsidRPr="00924DF4">
        <w:rPr>
          <w:rFonts w:ascii="Palatino Linotype" w:eastAsia="Times New Roman" w:hAnsi="Palatino Linotype" w:cs="Arial"/>
          <w:lang w:val="es-ES_tradnl"/>
        </w:rPr>
        <w:t xml:space="preserve">de la presente resolución emitida </w:t>
      </w:r>
      <w:r w:rsidRPr="00924DF4">
        <w:rPr>
          <w:rFonts w:ascii="Palatino Linotype" w:hAnsi="Palatino Linotype" w:cs="Arial"/>
        </w:rPr>
        <w:t xml:space="preserve">por el Pleno del Instituto de Transparencia, Acceso a la Información Pública y Protección de Datos Personales del Estado de México y Municipios, en su Trigésima </w:t>
      </w:r>
      <w:r w:rsidR="00B02869">
        <w:rPr>
          <w:rFonts w:ascii="Palatino Linotype" w:hAnsi="Palatino Linotype" w:cs="Arial"/>
        </w:rPr>
        <w:t>Octava</w:t>
      </w:r>
      <w:r w:rsidRPr="00924DF4">
        <w:rPr>
          <w:rFonts w:ascii="Palatino Linotype" w:hAnsi="Palatino Linotype" w:cs="Arial"/>
        </w:rPr>
        <w:t xml:space="preserve"> Sesión Ordinaria de </w:t>
      </w:r>
      <w:r w:rsidRPr="00A7565F">
        <w:rPr>
          <w:rFonts w:ascii="Palatino Linotype" w:hAnsi="Palatino Linotype" w:cs="Arial"/>
        </w:rPr>
        <w:t>fecha diecisiete (17) de octubre de dos mil dieciocho,</w:t>
      </w:r>
      <w:bookmarkStart w:id="2" w:name="_GoBack"/>
      <w:bookmarkEnd w:id="2"/>
      <w:r w:rsidRPr="00924DF4">
        <w:rPr>
          <w:rFonts w:ascii="Palatino Linotype" w:hAnsi="Palatino Linotype" w:cs="Arial"/>
        </w:rPr>
        <w:t xml:space="preserve"> en el recurso de revisión promovido por</w:t>
      </w:r>
      <w:r w:rsidRPr="00924DF4">
        <w:rPr>
          <w:rFonts w:ascii="Palatino Linotype" w:hAnsi="Palatino Linotype" w:cs="Arial"/>
          <w:b/>
        </w:rPr>
        <w:t xml:space="preserve"> </w:t>
      </w:r>
      <w:r w:rsidR="003C52E7" w:rsidRPr="003C52E7">
        <w:rPr>
          <w:rFonts w:ascii="Palatino Linotype" w:hAnsi="Palatino Linotype" w:cs="Arial"/>
          <w:b/>
          <w:highlight w:val="black"/>
        </w:rPr>
        <w:t>-----------------------------</w:t>
      </w:r>
      <w:r w:rsidRPr="00924DF4">
        <w:rPr>
          <w:rFonts w:ascii="Palatino Linotype" w:hAnsi="Palatino Linotype" w:cs="Arial"/>
        </w:rPr>
        <w:t>,</w:t>
      </w:r>
      <w:r w:rsidRPr="00924DF4">
        <w:rPr>
          <w:rFonts w:ascii="Palatino Linotype" w:hAnsi="Palatino Linotype" w:cs="Arial"/>
          <w:b/>
        </w:rPr>
        <w:t xml:space="preserve"> </w:t>
      </w:r>
      <w:r>
        <w:rPr>
          <w:rFonts w:ascii="Palatino Linotype" w:hAnsi="Palatino Linotype" w:cs="Arial"/>
        </w:rPr>
        <w:t xml:space="preserve">en contra de la respuesta del </w:t>
      </w:r>
      <w:r w:rsidR="00B02869">
        <w:rPr>
          <w:rFonts w:ascii="Palatino Linotype" w:eastAsia="Calibri" w:hAnsi="Palatino Linotype"/>
          <w:b/>
          <w:lang w:val="es-ES" w:eastAsia="es-ES"/>
        </w:rPr>
        <w:t xml:space="preserve">Ayuntamiento de </w:t>
      </w:r>
      <w:proofErr w:type="spellStart"/>
      <w:r w:rsidR="00B02869">
        <w:rPr>
          <w:rFonts w:ascii="Palatino Linotype" w:eastAsia="Calibri" w:hAnsi="Palatino Linotype"/>
          <w:b/>
          <w:lang w:val="es-ES" w:eastAsia="es-ES"/>
        </w:rPr>
        <w:t>Tepetlixpa</w:t>
      </w:r>
      <w:proofErr w:type="spellEnd"/>
      <w:r w:rsidRPr="00924DF4">
        <w:rPr>
          <w:rFonts w:ascii="Palatino Linotype" w:hAnsi="Palatino Linotype" w:cs="Arial"/>
        </w:rPr>
        <w:t xml:space="preserve">, procedimiento al que se le asignó el número de expediente </w:t>
      </w:r>
      <w:r w:rsidRPr="00924DF4">
        <w:rPr>
          <w:rFonts w:ascii="Palatino Linotype" w:eastAsia="Times New Roman" w:hAnsi="Palatino Linotype" w:cs="Arial"/>
          <w:b/>
          <w:bCs/>
          <w:lang w:eastAsia="es-ES"/>
        </w:rPr>
        <w:t>02</w:t>
      </w:r>
      <w:r w:rsidR="00B02869">
        <w:rPr>
          <w:rFonts w:ascii="Palatino Linotype" w:eastAsia="Times New Roman" w:hAnsi="Palatino Linotype" w:cs="Arial"/>
          <w:b/>
          <w:bCs/>
          <w:lang w:eastAsia="es-ES"/>
        </w:rPr>
        <w:t>95</w:t>
      </w:r>
      <w:r>
        <w:rPr>
          <w:rFonts w:ascii="Palatino Linotype" w:eastAsia="Times New Roman" w:hAnsi="Palatino Linotype" w:cs="Arial"/>
          <w:b/>
          <w:bCs/>
          <w:lang w:eastAsia="es-ES"/>
        </w:rPr>
        <w:t>4</w:t>
      </w:r>
      <w:r w:rsidRPr="00924DF4">
        <w:rPr>
          <w:rFonts w:ascii="Palatino Linotype" w:eastAsia="Times New Roman" w:hAnsi="Palatino Linotype" w:cs="Arial"/>
          <w:b/>
          <w:bCs/>
          <w:lang w:eastAsia="es-ES"/>
        </w:rPr>
        <w:t>/INFOEM/IP/RR/2018.</w:t>
      </w:r>
    </w:p>
    <w:p w:rsidR="001B6597" w:rsidRPr="004F719D"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Pr>
          <w:rFonts w:ascii="Palatino Linotype" w:hAnsi="Palatino Linotype" w:cs="Arial"/>
        </w:rPr>
        <w:t>parcialmente</w:t>
      </w:r>
      <w:r w:rsidRPr="00924DF4">
        <w:rPr>
          <w:rFonts w:ascii="Palatino Linotype" w:hAnsi="Palatino Linotype" w:cs="Arial"/>
        </w:rPr>
        <w:t xml:space="preserve"> fundados los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Pr>
          <w:rFonts w:ascii="Palatino Linotype" w:hAnsi="Palatino Linotype" w:cs="Arial"/>
        </w:rPr>
        <w:t xml:space="preserve">Cuarto </w:t>
      </w:r>
      <w:r w:rsidRPr="00924DF4">
        <w:rPr>
          <w:rFonts w:ascii="Palatino Linotype" w:hAnsi="Palatino Linotype" w:cs="Arial"/>
        </w:rPr>
        <w:t>de la resolución</w:t>
      </w:r>
      <w:r>
        <w:rPr>
          <w:rFonts w:ascii="Palatino Linotype" w:hAnsi="Palatino Linotype" w:cs="Arial"/>
        </w:rPr>
        <w:t>,</w:t>
      </w:r>
      <w:r w:rsidRPr="00924DF4">
        <w:rPr>
          <w:rFonts w:ascii="Palatino Linotype" w:hAnsi="Palatino Linotype" w:cs="Arial"/>
        </w:rPr>
        <w:t xml:space="preserve"> por lo que la ponencia encargada consideró </w:t>
      </w:r>
      <w:r w:rsidR="00B02869">
        <w:rPr>
          <w:rFonts w:ascii="Palatino Linotype" w:hAnsi="Palatino Linotype" w:cs="Arial"/>
          <w:b/>
        </w:rPr>
        <w:t>MODIFICAR</w:t>
      </w:r>
      <w:r w:rsidRPr="00A6390E">
        <w:rPr>
          <w:rFonts w:ascii="Palatino Linotype" w:hAnsi="Palatino Linotype" w:cs="Arial"/>
          <w:b/>
        </w:rPr>
        <w:t xml:space="preserve"> </w:t>
      </w:r>
      <w:r w:rsidRPr="00924DF4">
        <w:rPr>
          <w:rFonts w:ascii="Palatino Linotype" w:hAnsi="Palatino Linotype" w:cs="Arial"/>
        </w:rPr>
        <w:t xml:space="preserve">la respuesta del Sujeto Obligado, sin embargo, mi voto </w:t>
      </w:r>
      <w:r>
        <w:rPr>
          <w:rFonts w:ascii="Palatino Linotype" w:hAnsi="Palatino Linotype" w:cs="Arial"/>
        </w:rPr>
        <w:t>particular</w:t>
      </w:r>
      <w:r w:rsidRPr="00924DF4">
        <w:rPr>
          <w:rFonts w:ascii="Palatino Linotype" w:hAnsi="Palatino Linotype" w:cs="Arial"/>
        </w:rPr>
        <w:t xml:space="preserve"> se deriva del hecho de que resulta necesario </w:t>
      </w:r>
      <w:r>
        <w:rPr>
          <w:rFonts w:ascii="Palatino Linotype" w:hAnsi="Palatino Linotype" w:cs="Arial"/>
        </w:rPr>
        <w:t xml:space="preserve">señalar </w:t>
      </w:r>
      <w:r w:rsidRPr="00924DF4">
        <w:rPr>
          <w:rFonts w:ascii="Palatino Linotype" w:hAnsi="Palatino Linotype" w:cs="Arial"/>
        </w:rPr>
        <w:t>que para</w:t>
      </w:r>
      <w:r>
        <w:rPr>
          <w:rFonts w:ascii="Palatino Linotype" w:hAnsi="Palatino Linotype" w:cs="Arial"/>
        </w:rPr>
        <w:t xml:space="preserve"> que sea procedente la reserva de información, es indispensable acreditar ciertos requisitos, los cuales se agotan actualizando cuatro tiempos y ratificando la </w:t>
      </w:r>
      <w:r>
        <w:rPr>
          <w:rFonts w:ascii="Palatino Linotype" w:hAnsi="Palatino Linotype" w:cs="Arial"/>
        </w:rPr>
        <w:lastRenderedPageBreak/>
        <w:t>reserva de la misma, mediante la materialización de</w:t>
      </w:r>
      <w:r w:rsidRPr="00AE100A">
        <w:rPr>
          <w:rFonts w:ascii="Palatino Linotype" w:hAnsi="Palatino Linotype" w:cs="Arial"/>
        </w:rPr>
        <w:t xml:space="preserve"> las facultades concedidas al instituto</w:t>
      </w:r>
      <w:r>
        <w:rPr>
          <w:rFonts w:ascii="Palatino Linotype" w:hAnsi="Palatino Linotype" w:cs="Arial"/>
        </w:rPr>
        <w:t>,</w:t>
      </w:r>
      <w:r w:rsidRPr="00AE100A">
        <w:rPr>
          <w:rFonts w:ascii="Palatino Linotype" w:hAnsi="Palatino Linotype" w:cs="Arial"/>
        </w:rPr>
        <w:t xml:space="preserve"> para </w:t>
      </w:r>
      <w:r>
        <w:rPr>
          <w:rFonts w:ascii="Palatino Linotype" w:hAnsi="Palatino Linotype" w:cs="Arial"/>
        </w:rPr>
        <w:t xml:space="preserve">verificar la naturaleza de la información y con ello dar </w:t>
      </w:r>
      <w:r w:rsidRPr="00AE100A">
        <w:rPr>
          <w:rFonts w:ascii="Palatino Linotype" w:hAnsi="Palatino Linotype" w:cs="Arial"/>
        </w:rPr>
        <w:t xml:space="preserve">certeza y firmeza a las resoluciones emitidas. </w:t>
      </w:r>
    </w:p>
    <w:p w:rsidR="001B6597" w:rsidRPr="00CC0EC5" w:rsidRDefault="001B6597" w:rsidP="001B6597">
      <w:pPr>
        <w:pStyle w:val="Prrafodelista"/>
        <w:spacing w:line="360" w:lineRule="auto"/>
        <w:rPr>
          <w:rFonts w:ascii="Palatino Linotype" w:hAnsi="Palatino Linotype" w:cs="Arial"/>
          <w:color w:val="000000" w:themeColor="text1"/>
        </w:rPr>
      </w:pPr>
    </w:p>
    <w:p w:rsidR="001B6597" w:rsidRPr="00CC0EC5"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Pr="00CC0EC5">
        <w:rPr>
          <w:rFonts w:ascii="Palatino Linotype" w:hAnsi="Palatino Linotype" w:cs="Arial"/>
          <w:color w:val="000000" w:themeColor="text1"/>
        </w:rPr>
        <w:t xml:space="preserve">los motivos y las razones de hecho y de derecho que se señalan a continuación y en términos de lo señalado por el artículo 14 fracción XI del Reglamento Interior del Instituto de Transparencia y Acceso a la Información Pública del Estado de México y Municipios, formulo el presente voto </w:t>
      </w:r>
      <w:r>
        <w:rPr>
          <w:rFonts w:ascii="Palatino Linotype" w:hAnsi="Palatino Linotype" w:cs="Arial"/>
          <w:color w:val="000000" w:themeColor="text1"/>
        </w:rPr>
        <w:t>particular</w:t>
      </w:r>
      <w:r w:rsidRPr="00CC0EC5">
        <w:rPr>
          <w:rFonts w:ascii="Palatino Linotype" w:hAnsi="Palatino Linotype" w:cs="Arial"/>
          <w:color w:val="000000" w:themeColor="text1"/>
        </w:rPr>
        <w:t xml:space="preserve">. </w:t>
      </w:r>
    </w:p>
    <w:p w:rsidR="001B6597" w:rsidRPr="00CC0EC5" w:rsidRDefault="001B6597" w:rsidP="001B6597">
      <w:pPr>
        <w:pStyle w:val="Prrafodelista"/>
        <w:spacing w:line="360" w:lineRule="auto"/>
        <w:rPr>
          <w:rFonts w:ascii="Palatino Linotype" w:hAnsi="Palatino Linotype" w:cs="Arial"/>
          <w:color w:val="000000" w:themeColor="text1"/>
          <w:lang w:val="es-ES"/>
        </w:rPr>
      </w:pPr>
    </w:p>
    <w:p w:rsidR="001B6597" w:rsidRPr="00F511B5"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CC0EC5">
        <w:rPr>
          <w:rFonts w:ascii="Palatino Linotype" w:hAnsi="Palatino Linotype" w:cs="Arial"/>
          <w:color w:val="000000" w:themeColor="text1"/>
          <w:lang w:val="es-ES"/>
        </w:rPr>
        <w:t xml:space="preserve">Al presentar este voto </w:t>
      </w:r>
      <w:r>
        <w:rPr>
          <w:rFonts w:ascii="Palatino Linotype" w:hAnsi="Palatino Linotype" w:cs="Arial"/>
          <w:color w:val="000000" w:themeColor="text1"/>
          <w:lang w:val="es-ES"/>
        </w:rPr>
        <w:t>particular</w:t>
      </w:r>
      <w:r w:rsidRPr="00CC0EC5">
        <w:rPr>
          <w:rFonts w:ascii="Palatino Linotype" w:hAnsi="Palatino Linotype" w:cs="Arial"/>
          <w:color w:val="000000" w:themeColor="text1"/>
          <w:lang w:val="es-ES"/>
        </w:rPr>
        <w:t xml:space="preserve"> deseo manifestar lo que en su momento señalé durante la discusión de esta resolución en el Pleno de este órgano Garante, especificando que no comparto la decisión adoptada por la mayoría de los Comisionados integrantes del Pleno, en el sentido y razonamientos de la resolución del recurso de revisión registrado con el número de expediente al rubro indicado, por las consideraciones que se plasman en los párrafos siguientes.</w:t>
      </w:r>
    </w:p>
    <w:p w:rsidR="001B6597" w:rsidRPr="00CC0EC5"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1B6597" w:rsidRPr="004F719D" w:rsidRDefault="001B6597" w:rsidP="001B6597">
      <w:pPr>
        <w:pStyle w:val="Ttulo1"/>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ind w:left="1134" w:hanging="360"/>
      </w:pPr>
      <w:bookmarkStart w:id="3" w:name="_Toc473810012"/>
      <w:bookmarkStart w:id="4" w:name="_Toc525561036"/>
      <w:bookmarkStart w:id="5" w:name="_Toc472594392"/>
      <w:bookmarkStart w:id="6" w:name="_Toc485911590"/>
      <w:r w:rsidRPr="004F719D">
        <w:t>De los requerimientos planteados en el recurso de revisión.</w:t>
      </w:r>
      <w:bookmarkEnd w:id="3"/>
      <w:bookmarkEnd w:id="4"/>
    </w:p>
    <w:p w:rsidR="001B6597" w:rsidRPr="004F719D" w:rsidRDefault="001B6597" w:rsidP="001B6597">
      <w:pPr>
        <w:pStyle w:val="Prrafodelista"/>
        <w:spacing w:line="360" w:lineRule="auto"/>
        <w:ind w:left="1080"/>
        <w:jc w:val="both"/>
        <w:rPr>
          <w:rFonts w:ascii="Palatino Linotype" w:hAnsi="Palatino Linotype" w:cs="Arial"/>
          <w:b/>
        </w:rPr>
      </w:pPr>
    </w:p>
    <w:p w:rsidR="001B6597" w:rsidRPr="00914A41" w:rsidRDefault="001B6597" w:rsidP="00914A4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r w:rsidRPr="00914A41">
        <w:rPr>
          <w:rFonts w:ascii="Palatino Linotype" w:hAnsi="Palatino Linotype" w:cs="Arial"/>
        </w:rPr>
        <w:t xml:space="preserve">El particular requirió del </w:t>
      </w:r>
      <w:r w:rsidR="00B02869">
        <w:rPr>
          <w:rFonts w:ascii="Palatino Linotype" w:hAnsi="Palatino Linotype"/>
          <w:b/>
        </w:rPr>
        <w:t xml:space="preserve">Ayuntamiento de </w:t>
      </w:r>
      <w:proofErr w:type="spellStart"/>
      <w:r w:rsidR="00B02869">
        <w:rPr>
          <w:rFonts w:ascii="Palatino Linotype" w:hAnsi="Palatino Linotype"/>
          <w:b/>
        </w:rPr>
        <w:t>Tepetlixpa</w:t>
      </w:r>
      <w:proofErr w:type="spellEnd"/>
      <w:r w:rsidR="00914A41" w:rsidRPr="00914A41">
        <w:rPr>
          <w:rFonts w:ascii="Palatino Linotype" w:hAnsi="Palatino Linotype"/>
          <w:b/>
        </w:rPr>
        <w:t xml:space="preserve"> </w:t>
      </w:r>
      <w:r w:rsidRPr="00914A41">
        <w:rPr>
          <w:rFonts w:ascii="Palatino Linotype" w:hAnsi="Palatino Linotype" w:cs="Arial"/>
        </w:rPr>
        <w:t xml:space="preserve">lo siguiente: </w:t>
      </w:r>
      <w:r w:rsidRPr="00914A41">
        <w:rPr>
          <w:rFonts w:ascii="Palatino Linotype" w:hAnsi="Palatino Linotype" w:cs="Arial"/>
          <w:b/>
        </w:rPr>
        <w:t xml:space="preserve"> </w:t>
      </w:r>
    </w:p>
    <w:p w:rsidR="001B6597" w:rsidRPr="00924DF4" w:rsidRDefault="001B6597" w:rsidP="001B6597">
      <w:pPr>
        <w:pStyle w:val="Prrafodelista"/>
        <w:spacing w:line="360" w:lineRule="auto"/>
        <w:ind w:left="360"/>
        <w:jc w:val="both"/>
        <w:rPr>
          <w:rFonts w:ascii="Palatino Linotype" w:eastAsia="Times New Roman" w:hAnsi="Palatino Linotype"/>
          <w:i/>
          <w:lang w:val="es-ES_tradnl" w:eastAsia="es-ES"/>
        </w:rPr>
      </w:pPr>
      <w:r w:rsidRPr="00924DF4">
        <w:rPr>
          <w:rFonts w:ascii="Palatino Linotype" w:hAnsi="Palatino Linotype" w:cs="Arial"/>
        </w:rPr>
        <w:t xml:space="preserve"> </w:t>
      </w:r>
    </w:p>
    <w:p w:rsidR="001B6597" w:rsidRPr="00EF06C6" w:rsidRDefault="001B6597" w:rsidP="001B6597">
      <w:pPr>
        <w:spacing w:line="360" w:lineRule="auto"/>
        <w:ind w:left="567" w:right="616"/>
        <w:jc w:val="both"/>
        <w:rPr>
          <w:rFonts w:ascii="Palatino Linotype" w:hAnsi="Palatino Linotype"/>
          <w:sz w:val="22"/>
          <w:szCs w:val="22"/>
        </w:rPr>
      </w:pPr>
      <w:r w:rsidRPr="00EF06C6">
        <w:rPr>
          <w:rFonts w:ascii="Palatino Linotype" w:hAnsi="Palatino Linotype" w:cs="Arial"/>
          <w:i/>
          <w:sz w:val="22"/>
          <w:szCs w:val="22"/>
        </w:rPr>
        <w:t>“</w:t>
      </w:r>
      <w:r w:rsidR="00A371C9" w:rsidRPr="00A371C9">
        <w:rPr>
          <w:rFonts w:ascii="Palatino Linotype" w:hAnsi="Palatino Linotype" w:cs="Arial"/>
          <w:i/>
          <w:sz w:val="22"/>
          <w:szCs w:val="22"/>
        </w:rPr>
        <w:t xml:space="preserve">solicito un informe detallado de la policía municipal del municipio de </w:t>
      </w:r>
      <w:proofErr w:type="spellStart"/>
      <w:r w:rsidR="00A371C9" w:rsidRPr="00A371C9">
        <w:rPr>
          <w:rFonts w:ascii="Palatino Linotype" w:hAnsi="Palatino Linotype" w:cs="Arial"/>
          <w:i/>
          <w:sz w:val="22"/>
          <w:szCs w:val="22"/>
        </w:rPr>
        <w:t>tepetlixpa</w:t>
      </w:r>
      <w:proofErr w:type="spellEnd"/>
      <w:r w:rsidR="00A371C9" w:rsidRPr="00A371C9">
        <w:rPr>
          <w:rFonts w:ascii="Palatino Linotype" w:hAnsi="Palatino Linotype" w:cs="Arial"/>
          <w:i/>
          <w:sz w:val="22"/>
          <w:szCs w:val="22"/>
        </w:rPr>
        <w:t xml:space="preserve"> de la detención y puesta a </w:t>
      </w:r>
      <w:proofErr w:type="spellStart"/>
      <w:r w:rsidR="00A371C9" w:rsidRPr="00A371C9">
        <w:rPr>
          <w:rFonts w:ascii="Palatino Linotype" w:hAnsi="Palatino Linotype" w:cs="Arial"/>
          <w:i/>
          <w:sz w:val="22"/>
          <w:szCs w:val="22"/>
        </w:rPr>
        <w:t>dispocicion</w:t>
      </w:r>
      <w:proofErr w:type="spellEnd"/>
      <w:r w:rsidR="00A371C9" w:rsidRPr="00A371C9">
        <w:rPr>
          <w:rFonts w:ascii="Palatino Linotype" w:hAnsi="Palatino Linotype" w:cs="Arial"/>
          <w:i/>
          <w:sz w:val="22"/>
          <w:szCs w:val="22"/>
        </w:rPr>
        <w:t xml:space="preserve"> de </w:t>
      </w:r>
      <w:r w:rsidR="003C52E7" w:rsidRPr="003C52E7">
        <w:rPr>
          <w:rFonts w:ascii="Palatino Linotype" w:hAnsi="Palatino Linotype" w:cs="Arial"/>
          <w:i/>
          <w:sz w:val="22"/>
          <w:szCs w:val="22"/>
          <w:highlight w:val="black"/>
        </w:rPr>
        <w:t>--------------------------</w:t>
      </w:r>
      <w:r w:rsidR="00A371C9" w:rsidRPr="00A371C9">
        <w:rPr>
          <w:rFonts w:ascii="Palatino Linotype" w:hAnsi="Palatino Linotype" w:cs="Arial"/>
          <w:i/>
          <w:sz w:val="22"/>
          <w:szCs w:val="22"/>
        </w:rPr>
        <w:t xml:space="preserve"> la cual fue detenida sin orden ni en flagrancia en la calle </w:t>
      </w:r>
      <w:proofErr w:type="spellStart"/>
      <w:r w:rsidR="00A371C9" w:rsidRPr="00A371C9">
        <w:rPr>
          <w:rFonts w:ascii="Palatino Linotype" w:hAnsi="Palatino Linotype" w:cs="Arial"/>
          <w:i/>
          <w:sz w:val="22"/>
          <w:szCs w:val="22"/>
        </w:rPr>
        <w:t>jesus</w:t>
      </w:r>
      <w:proofErr w:type="spellEnd"/>
      <w:r w:rsidR="00A371C9" w:rsidRPr="00A371C9">
        <w:rPr>
          <w:rFonts w:ascii="Palatino Linotype" w:hAnsi="Palatino Linotype" w:cs="Arial"/>
          <w:i/>
          <w:sz w:val="22"/>
          <w:szCs w:val="22"/>
        </w:rPr>
        <w:t xml:space="preserve"> maría entre 5 de febrero y 2 de marzo el día 29 de abril </w:t>
      </w:r>
      <w:proofErr w:type="spellStart"/>
      <w:r w:rsidR="00A371C9" w:rsidRPr="00A371C9">
        <w:rPr>
          <w:rFonts w:ascii="Palatino Linotype" w:hAnsi="Palatino Linotype" w:cs="Arial"/>
          <w:i/>
          <w:sz w:val="22"/>
          <w:szCs w:val="22"/>
        </w:rPr>
        <w:lastRenderedPageBreak/>
        <w:t>alas</w:t>
      </w:r>
      <w:proofErr w:type="spellEnd"/>
      <w:r w:rsidR="00A371C9" w:rsidRPr="00A371C9">
        <w:rPr>
          <w:rFonts w:ascii="Palatino Linotype" w:hAnsi="Palatino Linotype" w:cs="Arial"/>
          <w:i/>
          <w:sz w:val="22"/>
          <w:szCs w:val="22"/>
        </w:rPr>
        <w:t xml:space="preserve"> nueve cuarenta y cinco del año dos mil catorce y que informe la puesta </w:t>
      </w:r>
      <w:proofErr w:type="spellStart"/>
      <w:r w:rsidR="00A371C9" w:rsidRPr="00A371C9">
        <w:rPr>
          <w:rFonts w:ascii="Palatino Linotype" w:hAnsi="Palatino Linotype" w:cs="Arial"/>
          <w:i/>
          <w:sz w:val="22"/>
          <w:szCs w:val="22"/>
        </w:rPr>
        <w:t>dispocicion</w:t>
      </w:r>
      <w:proofErr w:type="spellEnd"/>
      <w:r w:rsidR="00A371C9" w:rsidRPr="00A371C9">
        <w:rPr>
          <w:rFonts w:ascii="Palatino Linotype" w:hAnsi="Palatino Linotype" w:cs="Arial"/>
          <w:i/>
          <w:sz w:val="22"/>
          <w:szCs w:val="22"/>
        </w:rPr>
        <w:t xml:space="preserve"> bajo que cargos y si quedo debidamente registrada en </w:t>
      </w:r>
      <w:proofErr w:type="spellStart"/>
      <w:r w:rsidR="00A371C9" w:rsidRPr="00A371C9">
        <w:rPr>
          <w:rFonts w:ascii="Palatino Linotype" w:hAnsi="Palatino Linotype" w:cs="Arial"/>
          <w:i/>
          <w:sz w:val="22"/>
          <w:szCs w:val="22"/>
        </w:rPr>
        <w:t>en</w:t>
      </w:r>
      <w:proofErr w:type="spellEnd"/>
      <w:r w:rsidR="00A371C9" w:rsidRPr="00A371C9">
        <w:rPr>
          <w:rFonts w:ascii="Palatino Linotype" w:hAnsi="Palatino Linotype" w:cs="Arial"/>
          <w:i/>
          <w:sz w:val="22"/>
          <w:szCs w:val="22"/>
        </w:rPr>
        <w:t xml:space="preserve"> libro de gobierno</w:t>
      </w:r>
      <w:r w:rsidRPr="00EF06C6">
        <w:rPr>
          <w:rFonts w:ascii="Palatino Linotype" w:hAnsi="Palatino Linotype" w:cs="Arial"/>
          <w:i/>
          <w:sz w:val="22"/>
          <w:szCs w:val="22"/>
        </w:rPr>
        <w:t xml:space="preserve">.” </w:t>
      </w:r>
      <w:r w:rsidRPr="00EF06C6">
        <w:rPr>
          <w:rFonts w:ascii="Palatino Linotype" w:hAnsi="Palatino Linotype"/>
          <w:sz w:val="22"/>
          <w:szCs w:val="22"/>
        </w:rPr>
        <w:t>(Sic).</w:t>
      </w:r>
    </w:p>
    <w:p w:rsidR="001B6597" w:rsidRPr="004F719D" w:rsidRDefault="001B6597" w:rsidP="001B6597">
      <w:pPr>
        <w:pStyle w:val="Sinespaciado"/>
        <w:spacing w:line="360" w:lineRule="auto"/>
        <w:ind w:left="360" w:right="334"/>
        <w:jc w:val="both"/>
        <w:rPr>
          <w:rFonts w:ascii="Palatino Linotype" w:hAnsi="Palatino Linotype" w:cs="Arial"/>
          <w:i/>
          <w:color w:val="000000" w:themeColor="text1"/>
          <w:sz w:val="24"/>
          <w:szCs w:val="24"/>
        </w:rPr>
      </w:pPr>
    </w:p>
    <w:p w:rsidR="001B6597" w:rsidRPr="00B4429E"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Sujeto Obligado mediante su escrito dio respuesta a la solicitud de información, de la siguiente manera:</w:t>
      </w:r>
    </w:p>
    <w:p w:rsidR="001B6597" w:rsidRPr="00924DF4" w:rsidRDefault="001B6597" w:rsidP="00914A41">
      <w:pPr>
        <w:pStyle w:val="Prrafodelista"/>
        <w:spacing w:line="360" w:lineRule="auto"/>
        <w:ind w:left="0"/>
        <w:jc w:val="both"/>
        <w:rPr>
          <w:rFonts w:ascii="Palatino Linotype" w:eastAsia="Times New Roman" w:hAnsi="Palatino Linotype"/>
          <w:i/>
          <w:lang w:val="es-ES_tradnl" w:eastAsia="es-ES"/>
        </w:rPr>
      </w:pPr>
    </w:p>
    <w:p w:rsidR="00914A41" w:rsidRPr="00914A41" w:rsidRDefault="001B6597" w:rsidP="00A371C9">
      <w:pPr>
        <w:spacing w:line="360" w:lineRule="auto"/>
        <w:ind w:left="851" w:right="899"/>
        <w:jc w:val="both"/>
        <w:rPr>
          <w:rFonts w:ascii="Palatino Linotype" w:hAnsi="Palatino Linotype" w:cs="Arial"/>
          <w:i/>
          <w:sz w:val="22"/>
          <w:szCs w:val="22"/>
        </w:rPr>
      </w:pPr>
      <w:r w:rsidRPr="00EF06C6">
        <w:rPr>
          <w:rFonts w:ascii="Palatino Linotype" w:hAnsi="Palatino Linotype" w:cs="Arial"/>
          <w:i/>
          <w:sz w:val="22"/>
          <w:szCs w:val="22"/>
        </w:rPr>
        <w:t>“</w:t>
      </w:r>
      <w:r w:rsidR="00914A41" w:rsidRPr="00914A41">
        <w:rPr>
          <w:rFonts w:ascii="Palatino Linotype" w:hAnsi="Palatino Linotype" w:cs="Arial"/>
          <w:i/>
          <w:sz w:val="22"/>
          <w:szCs w:val="22"/>
        </w:rPr>
        <w:t>…</w:t>
      </w:r>
      <w:r w:rsidR="00A371C9" w:rsidRPr="00A371C9">
        <w:rPr>
          <w:rFonts w:ascii="Palatino Linotype" w:hAnsi="Palatino Linotype" w:cs="Arial"/>
          <w:i/>
          <w:sz w:val="22"/>
          <w:szCs w:val="22"/>
        </w:rPr>
        <w:t xml:space="preserve">la información solicitada no es susceptible para su publicación; así mismo este sujeto obligado no es la instancia competente para que Usted solicite este tipo de información por lo que se le invita a interponer su Si ante el ministerio </w:t>
      </w:r>
      <w:proofErr w:type="spellStart"/>
      <w:r w:rsidR="00A371C9" w:rsidRPr="00A371C9">
        <w:rPr>
          <w:rFonts w:ascii="Palatino Linotype" w:hAnsi="Palatino Linotype" w:cs="Arial"/>
          <w:i/>
          <w:sz w:val="22"/>
          <w:szCs w:val="22"/>
        </w:rPr>
        <w:t>publico</w:t>
      </w:r>
      <w:proofErr w:type="spellEnd"/>
      <w:r w:rsidR="00A371C9" w:rsidRPr="00A371C9">
        <w:rPr>
          <w:rFonts w:ascii="Palatino Linotype" w:hAnsi="Palatino Linotype" w:cs="Arial"/>
          <w:i/>
          <w:sz w:val="22"/>
          <w:szCs w:val="22"/>
        </w:rPr>
        <w:t xml:space="preserve"> o juzgado procedente. Sin más por el momento, quedo de Usted</w:t>
      </w:r>
      <w:r w:rsidR="00914A41">
        <w:rPr>
          <w:rFonts w:ascii="Palatino Linotype" w:hAnsi="Palatino Linotype" w:cs="Arial"/>
          <w:i/>
          <w:sz w:val="22"/>
          <w:szCs w:val="22"/>
        </w:rPr>
        <w:t>…”</w:t>
      </w:r>
    </w:p>
    <w:p w:rsidR="00914A41" w:rsidRDefault="00914A41" w:rsidP="00914A4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73790E" w:rsidRDefault="001B6597" w:rsidP="0073790E">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A371C9">
        <w:rPr>
          <w:rFonts w:ascii="Palatino Linotype" w:hAnsi="Palatino Linotype" w:cs="Arial"/>
        </w:rPr>
        <w:t>En ese sentido,</w:t>
      </w:r>
      <w:r w:rsidRPr="00A371C9">
        <w:rPr>
          <w:rFonts w:ascii="Palatino Linotype" w:hAnsi="Palatino Linotype" w:cs="Arial"/>
          <w:b/>
        </w:rPr>
        <w:t xml:space="preserve"> </w:t>
      </w:r>
      <w:r w:rsidRPr="00A371C9">
        <w:rPr>
          <w:rFonts w:ascii="Palatino Linotype" w:hAnsi="Palatino Linotype" w:cs="Arial"/>
        </w:rPr>
        <w:t>el particular en sus motivos de inconformidad, se duele arguyendo</w:t>
      </w:r>
      <w:r w:rsidR="0073790E" w:rsidRPr="00A371C9">
        <w:rPr>
          <w:rFonts w:ascii="Palatino Linotype" w:hAnsi="Palatino Linotype" w:cs="Arial"/>
        </w:rPr>
        <w:t xml:space="preserve"> </w:t>
      </w:r>
      <w:bookmarkStart w:id="7" w:name="_Toc525561037"/>
      <w:r w:rsidR="00A371C9">
        <w:rPr>
          <w:rFonts w:ascii="Palatino Linotype" w:hAnsi="Palatino Linotype" w:cs="Arial"/>
        </w:rPr>
        <w:t>que el Municipio tiene la obligación de dar respuesta.</w:t>
      </w:r>
    </w:p>
    <w:p w:rsidR="00A371C9" w:rsidRPr="00A371C9" w:rsidRDefault="00A371C9" w:rsidP="00A371C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B6597" w:rsidRDefault="001B6597" w:rsidP="001B6597">
      <w:pPr>
        <w:pStyle w:val="Ttulo1"/>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ind w:left="1134" w:hanging="360"/>
      </w:pPr>
      <w:r w:rsidRPr="004F719D">
        <w:t>De la respuesta del Sujeto Obligado.</w:t>
      </w:r>
      <w:bookmarkEnd w:id="5"/>
      <w:bookmarkEnd w:id="6"/>
      <w:bookmarkEnd w:id="7"/>
    </w:p>
    <w:p w:rsidR="001B6597" w:rsidRPr="004F719D" w:rsidRDefault="001B6597" w:rsidP="001B6597">
      <w:pPr>
        <w:spacing w:line="360" w:lineRule="auto"/>
        <w:rPr>
          <w:rFonts w:ascii="Palatino Linotype" w:hAnsi="Palatino Linotype"/>
          <w:color w:val="000000" w:themeColor="text1"/>
        </w:rPr>
      </w:pPr>
    </w:p>
    <w:p w:rsidR="00A371C9" w:rsidRDefault="000A770B" w:rsidP="00A371C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lang w:eastAsia="es-MX"/>
        </w:rPr>
      </w:pPr>
      <w:r>
        <w:rPr>
          <w:rFonts w:ascii="Palatino Linotype" w:hAnsi="Palatino Linotype" w:cs="Arial"/>
          <w:color w:val="000000"/>
        </w:rPr>
        <w:t>E</w:t>
      </w:r>
      <w:r w:rsidR="001B6597">
        <w:rPr>
          <w:rFonts w:ascii="Palatino Linotype" w:hAnsi="Palatino Linotype" w:cs="Arial"/>
        </w:rPr>
        <w:t xml:space="preserve">l </w:t>
      </w:r>
      <w:r w:rsidR="00A371C9">
        <w:rPr>
          <w:rFonts w:ascii="Palatino Linotype" w:hAnsi="Palatino Linotype" w:cs="Arial"/>
        </w:rPr>
        <w:t xml:space="preserve">Sujeto Obligado refiere </w:t>
      </w:r>
      <w:r w:rsidR="00A371C9" w:rsidRPr="00BB0487">
        <w:rPr>
          <w:rFonts w:ascii="Palatino Linotype" w:hAnsi="Palatino Linotype"/>
          <w:lang w:eastAsia="es-MX"/>
        </w:rPr>
        <w:t>que la información solicitada no es su</w:t>
      </w:r>
      <w:r w:rsidR="00A371C9">
        <w:rPr>
          <w:rFonts w:ascii="Palatino Linotype" w:hAnsi="Palatino Linotype"/>
          <w:lang w:eastAsia="es-MX"/>
        </w:rPr>
        <w:t xml:space="preserve">sceptible para su publicación; </w:t>
      </w:r>
      <w:r w:rsidR="00A371C9" w:rsidRPr="00BB0487">
        <w:rPr>
          <w:rFonts w:ascii="Palatino Linotype" w:hAnsi="Palatino Linotype"/>
          <w:lang w:eastAsia="es-MX"/>
        </w:rPr>
        <w:t xml:space="preserve">no es la instancia competente para que </w:t>
      </w:r>
      <w:r w:rsidR="00A371C9">
        <w:rPr>
          <w:rFonts w:ascii="Palatino Linotype" w:hAnsi="Palatino Linotype"/>
          <w:lang w:eastAsia="es-MX"/>
        </w:rPr>
        <w:t>el particular s</w:t>
      </w:r>
      <w:r w:rsidR="00A371C9" w:rsidRPr="00BB0487">
        <w:rPr>
          <w:rFonts w:ascii="Palatino Linotype" w:hAnsi="Palatino Linotype"/>
          <w:lang w:eastAsia="es-MX"/>
        </w:rPr>
        <w:t>olicite este tipo de información</w:t>
      </w:r>
      <w:r w:rsidR="00A371C9">
        <w:rPr>
          <w:rFonts w:ascii="Palatino Linotype" w:hAnsi="Palatino Linotype"/>
          <w:lang w:eastAsia="es-MX"/>
        </w:rPr>
        <w:t xml:space="preserve">, indicándole a interponerla </w:t>
      </w:r>
      <w:r w:rsidR="00A371C9" w:rsidRPr="00BB0487">
        <w:rPr>
          <w:rFonts w:ascii="Palatino Linotype" w:hAnsi="Palatino Linotype"/>
          <w:lang w:eastAsia="es-MX"/>
        </w:rPr>
        <w:t>ante el ministerio público o juzgado procedente.</w:t>
      </w:r>
    </w:p>
    <w:p w:rsidR="00A371C9" w:rsidRPr="00BB0487" w:rsidRDefault="00A371C9" w:rsidP="00A371C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lang w:eastAsia="es-MX"/>
        </w:rPr>
      </w:pPr>
    </w:p>
    <w:p w:rsidR="00A371C9" w:rsidRDefault="00A371C9"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lastRenderedPageBreak/>
        <w:t xml:space="preserve">Sin embargo la ponencia </w:t>
      </w:r>
      <w:proofErr w:type="spellStart"/>
      <w:r>
        <w:rPr>
          <w:rFonts w:ascii="Palatino Linotype" w:hAnsi="Palatino Linotype" w:cs="Arial"/>
        </w:rPr>
        <w:t>resolutora</w:t>
      </w:r>
      <w:proofErr w:type="spellEnd"/>
      <w:r>
        <w:rPr>
          <w:rFonts w:ascii="Palatino Linotype" w:hAnsi="Palatino Linotype" w:cs="Arial"/>
        </w:rPr>
        <w:t xml:space="preserve">, determina que la información requerida se trata del “Informe Policial Homologado” el cual no es procedente ordenar por actualizarse el supuesto de clasificación. </w:t>
      </w:r>
    </w:p>
    <w:p w:rsidR="00A371C9" w:rsidRPr="00A371C9" w:rsidRDefault="00A371C9" w:rsidP="00A371C9">
      <w:pPr>
        <w:pStyle w:val="Prrafodelista"/>
        <w:rPr>
          <w:rFonts w:ascii="Palatino Linotype" w:hAnsi="Palatino Linotype" w:cs="Arial"/>
        </w:rPr>
      </w:pPr>
    </w:p>
    <w:p w:rsidR="00A371C9" w:rsidRDefault="00A371C9" w:rsidP="00A371C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1B6597" w:rsidRPr="0018311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De lo anterior, es menester señalar que el Instituto Nacional de Transparencia y Acceso a la Información y Protección de Datos Personales, en el </w:t>
      </w:r>
      <w:r w:rsidRPr="00183114">
        <w:rPr>
          <w:rFonts w:ascii="Palatino Linotype" w:hAnsi="Palatino Linotype" w:cs="Arial"/>
        </w:rPr>
        <w:t>expediente RIA 82/18, establece que para acreditar la reserva de la información, es necesario actualizar cuatro requisitos, siendo estos los siguientes:</w:t>
      </w:r>
    </w:p>
    <w:p w:rsidR="001B6597" w:rsidRPr="00924DF4" w:rsidRDefault="001B6597" w:rsidP="001B6597">
      <w:pPr>
        <w:pStyle w:val="Prrafodelista"/>
        <w:spacing w:line="360" w:lineRule="auto"/>
        <w:rPr>
          <w:rFonts w:ascii="Palatino Linotype" w:hAnsi="Palatino Linotype" w:cs="Arial"/>
        </w:rPr>
      </w:pPr>
    </w:p>
    <w:p w:rsidR="001B6597" w:rsidRPr="0044164A" w:rsidRDefault="001B6597" w:rsidP="001B659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La existencia de un juicio o procedimiento administrativo materialmente jurisdiccional. </w:t>
      </w:r>
    </w:p>
    <w:p w:rsidR="001B6597" w:rsidRPr="0044164A"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1B6597" w:rsidRPr="0044164A" w:rsidRDefault="001B6597" w:rsidP="001B659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Que el juicio se encuentre en trámite, es decir, que no haya causado estad.</w:t>
      </w:r>
    </w:p>
    <w:p w:rsidR="001B6597" w:rsidRPr="0044164A" w:rsidRDefault="001B6597" w:rsidP="001B659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 </w:t>
      </w:r>
    </w:p>
    <w:p w:rsidR="001B6597" w:rsidRPr="0044164A" w:rsidRDefault="001B6597" w:rsidP="001B659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El vínculo entre la información solicitada y el procedimiento judicial de que se trate. </w:t>
      </w:r>
    </w:p>
    <w:p w:rsidR="001B6597" w:rsidRPr="0044164A" w:rsidRDefault="001B6597" w:rsidP="001B659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1B6597" w:rsidRPr="0044164A" w:rsidRDefault="001B6597" w:rsidP="001B659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1B6597" w:rsidRPr="00924DF4" w:rsidRDefault="001B6597" w:rsidP="001B6597">
      <w:pPr>
        <w:pStyle w:val="Prrafodelista"/>
        <w:spacing w:before="240" w:after="240" w:line="360" w:lineRule="auto"/>
        <w:ind w:left="0" w:right="49"/>
        <w:jc w:val="both"/>
        <w:rPr>
          <w:rFonts w:ascii="Palatino Linotype" w:hAnsi="Palatino Linotype" w:cs="Arial"/>
        </w:rPr>
      </w:pP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lo que, únicamente al configurarse los mismos, es procedente la reserva de la información, si uno de los requisitos faltase, no será en ningún momento posible su reserva. </w:t>
      </w:r>
    </w:p>
    <w:p w:rsidR="001B6597" w:rsidRDefault="001B6597" w:rsidP="001B6597">
      <w:pPr>
        <w:pStyle w:val="Prrafodelista"/>
        <w:spacing w:before="240" w:after="240" w:line="360" w:lineRule="auto"/>
        <w:ind w:left="0" w:right="49"/>
        <w:jc w:val="both"/>
        <w:rPr>
          <w:rFonts w:ascii="Palatino Linotype" w:hAnsi="Palatino Linotype" w:cs="Arial"/>
        </w:rPr>
      </w:pP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 xml:space="preserve">Del expediente, objeto de mi presente voto particular, advierto que del estudio minucioso de la resolución dictada por la ponencia resolutoria, se desprende lo siguiente: </w:t>
      </w:r>
    </w:p>
    <w:p w:rsidR="001B6597" w:rsidRPr="00F36544" w:rsidRDefault="001B6597" w:rsidP="001B6597">
      <w:pPr>
        <w:pStyle w:val="Prrafodelista"/>
        <w:spacing w:line="360" w:lineRule="auto"/>
        <w:rPr>
          <w:rFonts w:ascii="Palatino Linotype" w:hAnsi="Palatino Linotype" w:cs="Arial"/>
        </w:rPr>
      </w:pPr>
    </w:p>
    <w:p w:rsidR="001B6597" w:rsidRDefault="001B6597" w:rsidP="001B6597">
      <w:pPr>
        <w:pStyle w:val="Prrafodelist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hanging="11"/>
        <w:jc w:val="both"/>
        <w:rPr>
          <w:rFonts w:ascii="Palatino Linotype" w:hAnsi="Palatino Linotype" w:cs="Arial"/>
        </w:rPr>
      </w:pPr>
      <w:r>
        <w:rPr>
          <w:rFonts w:ascii="Palatino Linotype" w:hAnsi="Palatino Linotype" w:cs="Arial"/>
        </w:rPr>
        <w:t>El Sujeto Obligado reservó la información sin analizar la naturaleza de la misma, sin ajustar las circunstancias de modo tiempo y lugar a la hipótesis que configura la reserva, por lo que l</w:t>
      </w:r>
      <w:r w:rsidRPr="00F36544">
        <w:rPr>
          <w:rFonts w:ascii="Palatino Linotype" w:hAnsi="Palatino Linotype" w:cs="Arial"/>
        </w:rPr>
        <w:t>a prueba de daño que pretendió realizar fue de manera incorrecta.</w:t>
      </w:r>
    </w:p>
    <w:p w:rsidR="001B6597" w:rsidRDefault="001B6597" w:rsidP="001B6597">
      <w:pPr>
        <w:pStyle w:val="Prrafodelista"/>
        <w:spacing w:before="240" w:after="240" w:line="360" w:lineRule="auto"/>
        <w:ind w:left="567" w:right="616" w:hanging="11"/>
        <w:jc w:val="both"/>
        <w:rPr>
          <w:rFonts w:ascii="Palatino Linotype" w:hAnsi="Palatino Linotype" w:cs="Arial"/>
        </w:rPr>
      </w:pPr>
    </w:p>
    <w:p w:rsidR="001B6597" w:rsidRDefault="001B6597" w:rsidP="001B6597">
      <w:pPr>
        <w:pStyle w:val="Prrafodelist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rPr>
      </w:pPr>
      <w:r>
        <w:rPr>
          <w:rFonts w:ascii="Palatino Linotype" w:hAnsi="Palatino Linotype" w:cs="Arial"/>
        </w:rPr>
        <w:t xml:space="preserve">La ponencia tampoco analizó tales circunstancias, ni materializo la facultad que la ley confiere en sus artículos 182 y 185 de la Ley de la materia. </w:t>
      </w: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De lo anterior</w:t>
      </w:r>
      <w:r w:rsidRPr="00924DF4">
        <w:rPr>
          <w:rFonts w:ascii="Palatino Linotype" w:hAnsi="Palatino Linotype" w:cs="Arial"/>
        </w:rPr>
        <w:t>, se</w:t>
      </w:r>
      <w:r>
        <w:rPr>
          <w:rFonts w:ascii="Palatino Linotype" w:hAnsi="Palatino Linotype" w:cs="Arial"/>
        </w:rPr>
        <w:t xml:space="preserve"> entiende que </w:t>
      </w:r>
      <w:r w:rsidRPr="00924DF4">
        <w:rPr>
          <w:rFonts w:ascii="Palatino Linotype" w:hAnsi="Palatino Linotype" w:cs="Arial"/>
        </w:rPr>
        <w:t>en ningún momento el Sujeto Obligado</w:t>
      </w:r>
      <w:r>
        <w:rPr>
          <w:rFonts w:ascii="Palatino Linotype" w:hAnsi="Palatino Linotype" w:cs="Arial"/>
        </w:rPr>
        <w:t xml:space="preserve">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w:t>
      </w:r>
      <w:r w:rsidRPr="00924DF4">
        <w:rPr>
          <w:rFonts w:ascii="Palatino Linotype" w:hAnsi="Palatino Linotype" w:cs="Arial"/>
        </w:rPr>
        <w:t xml:space="preserve"> resulta </w:t>
      </w:r>
      <w:r>
        <w:rPr>
          <w:rFonts w:ascii="Palatino Linotype" w:hAnsi="Palatino Linotype" w:cs="Arial"/>
        </w:rPr>
        <w:t xml:space="preserve">erróneo reservar la información.  </w:t>
      </w:r>
    </w:p>
    <w:p w:rsidR="001B6597" w:rsidRPr="00924DF4" w:rsidRDefault="001B6597" w:rsidP="001B6597">
      <w:pPr>
        <w:pStyle w:val="Prrafodelista"/>
        <w:spacing w:line="360" w:lineRule="auto"/>
        <w:ind w:left="0" w:right="49"/>
        <w:jc w:val="both"/>
        <w:rPr>
          <w:rFonts w:ascii="Palatino Linotype" w:hAnsi="Palatino Linotype" w:cs="Arial"/>
        </w:rPr>
      </w:pPr>
    </w:p>
    <w:p w:rsidR="001B6597" w:rsidRPr="000B43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 xml:space="preserve">Respecto al análisis realizado por la ponencia </w:t>
      </w:r>
      <w:proofErr w:type="spellStart"/>
      <w:r>
        <w:rPr>
          <w:rFonts w:ascii="Palatino Linotype" w:hAnsi="Palatino Linotype" w:cs="Arial"/>
        </w:rPr>
        <w:t>resolutora</w:t>
      </w:r>
      <w:proofErr w:type="spellEnd"/>
      <w:r>
        <w:rPr>
          <w:rFonts w:ascii="Palatino Linotype" w:hAnsi="Palatino Linotype" w:cs="Arial"/>
        </w:rPr>
        <w:t xml:space="preserve"> tampoco analizó debidamente tales circunstancias, solamente se constriñe a señalar que la información pública en posesión de los sujetos obligados, debe de ser entregada a los particulares para su conocimiento, a menos que se actualicen las limitantes para restringir su acceso, sin embargo, su estudio no tocó los alcances de la figura de la reserva, ni los requisitos para su configuración, en razón de que en ningún momento se pronuncia respecto a tal circunstancia, manteniendo dicha postura y estudio en el mismo sentido. </w:t>
      </w:r>
    </w:p>
    <w:p w:rsidR="001B6597" w:rsidRPr="006C0255" w:rsidRDefault="001B6597" w:rsidP="001B6597">
      <w:pPr>
        <w:pStyle w:val="Prrafodelista"/>
        <w:spacing w:line="360" w:lineRule="auto"/>
        <w:rPr>
          <w:rFonts w:ascii="Palatino Linotype" w:hAnsi="Palatino Linotype" w:cs="Arial"/>
        </w:rPr>
      </w:pPr>
    </w:p>
    <w:p w:rsidR="001B6597" w:rsidRPr="00CC0EC5"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0B4397">
        <w:rPr>
          <w:rFonts w:ascii="Palatino Linotype" w:hAnsi="Palatino Linotype" w:cs="Arial"/>
        </w:rPr>
        <w:t xml:space="preserve">Es imprescriptible señalar que en el presente año, </w:t>
      </w:r>
      <w:r w:rsidRPr="00CC0EC5">
        <w:rPr>
          <w:rFonts w:ascii="Palatino Linotype" w:hAnsi="Palatino Linotype" w:cs="Arial"/>
        </w:rPr>
        <w:t xml:space="preserve">este </w:t>
      </w:r>
      <w:r>
        <w:rPr>
          <w:rFonts w:ascii="Palatino Linotype" w:hAnsi="Palatino Linotype" w:cs="Arial"/>
        </w:rPr>
        <w:t xml:space="preserve">Órgano </w:t>
      </w:r>
      <w:proofErr w:type="spellStart"/>
      <w:r>
        <w:rPr>
          <w:rFonts w:ascii="Palatino Linotype" w:hAnsi="Palatino Linotype" w:cs="Arial"/>
        </w:rPr>
        <w:t>Resolutor</w:t>
      </w:r>
      <w:proofErr w:type="spellEnd"/>
      <w:r>
        <w:rPr>
          <w:rFonts w:ascii="Palatino Linotype" w:hAnsi="Palatino Linotype" w:cs="Arial"/>
        </w:rPr>
        <w:t xml:space="preserve"> </w:t>
      </w:r>
      <w:r w:rsidRPr="00CC0EC5">
        <w:rPr>
          <w:rFonts w:ascii="Palatino Linotype" w:hAnsi="Palatino Linotype" w:cs="Arial"/>
        </w:rPr>
        <w:t>ha sido sometido a un estricto control por parte del Instituto Nacional de Transparencia, Acceso a la Información y Protección de Datos Personales (INAI), como resultado de</w:t>
      </w:r>
      <w:r>
        <w:rPr>
          <w:rFonts w:ascii="Palatino Linotype" w:hAnsi="Palatino Linotype" w:cs="Arial"/>
        </w:rPr>
        <w:t xml:space="preserve"> </w:t>
      </w:r>
      <w:r w:rsidRPr="00CC0EC5">
        <w:rPr>
          <w:rFonts w:ascii="Palatino Linotype" w:hAnsi="Palatino Linotype" w:cs="Arial"/>
        </w:rPr>
        <w:t>l</w:t>
      </w:r>
      <w:r>
        <w:rPr>
          <w:rFonts w:ascii="Palatino Linotype" w:hAnsi="Palatino Linotype" w:cs="Arial"/>
        </w:rPr>
        <w:t>os</w:t>
      </w:r>
      <w:r w:rsidRPr="00CC0EC5">
        <w:rPr>
          <w:rFonts w:ascii="Palatino Linotype" w:hAnsi="Palatino Linotype" w:cs="Arial"/>
        </w:rPr>
        <w:t xml:space="preserve"> Recurso</w:t>
      </w:r>
      <w:r>
        <w:rPr>
          <w:rFonts w:ascii="Palatino Linotype" w:hAnsi="Palatino Linotype" w:cs="Arial"/>
        </w:rPr>
        <w:t>s</w:t>
      </w:r>
      <w:r w:rsidRPr="00CC0EC5">
        <w:rPr>
          <w:rFonts w:ascii="Palatino Linotype" w:hAnsi="Palatino Linotype" w:cs="Arial"/>
        </w:rPr>
        <w:t xml:space="preserve"> de Inconformidad</w:t>
      </w:r>
      <w:r>
        <w:rPr>
          <w:rFonts w:ascii="Palatino Linotype" w:hAnsi="Palatino Linotype" w:cs="Arial"/>
        </w:rPr>
        <w:t xml:space="preserve"> </w:t>
      </w:r>
      <w:r w:rsidRPr="00CC0EC5">
        <w:rPr>
          <w:rFonts w:ascii="Palatino Linotype" w:hAnsi="Palatino Linotype" w:cs="Arial"/>
          <w:lang w:eastAsia="es-MX"/>
        </w:rPr>
        <w:t>069/18 y RIA 082/18</w:t>
      </w:r>
      <w:r>
        <w:rPr>
          <w:rFonts w:ascii="Palatino Linotype" w:hAnsi="Palatino Linotype" w:cs="Arial"/>
        </w:rPr>
        <w:t xml:space="preserve">, en los que el Órgano Garante Nacional, puntualmente dirigió a este Órgano Garante local, que para invocar la causal de reserva, se deben de agotar todos y cada uno de los requisitos. </w:t>
      </w:r>
    </w:p>
    <w:p w:rsidR="001B6597" w:rsidRPr="000B4397" w:rsidRDefault="001B6597" w:rsidP="001B6597">
      <w:pPr>
        <w:pStyle w:val="Prrafodelista"/>
        <w:spacing w:line="360" w:lineRule="auto"/>
        <w:ind w:left="0" w:right="49"/>
        <w:jc w:val="both"/>
        <w:rPr>
          <w:rFonts w:ascii="Palatino Linotype" w:hAnsi="Palatino Linotype" w:cs="Arial"/>
        </w:rPr>
      </w:pP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w:t>
      </w:r>
      <w:r>
        <w:rPr>
          <w:rFonts w:ascii="Palatino Linotype" w:hAnsi="Palatino Linotype" w:cs="Arial"/>
        </w:rPr>
        <w:lastRenderedPageBreak/>
        <w:t xml:space="preserve">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1B6597" w:rsidRDefault="001B6597" w:rsidP="001B6597">
      <w:pPr>
        <w:pStyle w:val="Prrafodelista"/>
        <w:spacing w:line="360" w:lineRule="auto"/>
        <w:ind w:left="0" w:right="49"/>
        <w:jc w:val="both"/>
        <w:rPr>
          <w:rFonts w:ascii="Palatino Linotype" w:hAnsi="Palatino Linotype" w:cs="Arial"/>
        </w:rPr>
      </w:pP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E</w:t>
      </w:r>
      <w:r w:rsidRPr="001A2DAB">
        <w:rPr>
          <w:rFonts w:ascii="Palatino Linotype" w:hAnsi="Palatino Linotype" w:cs="Arial"/>
        </w:rPr>
        <w:t xml:space="preserve">s necesario señalar que </w:t>
      </w:r>
      <w:r>
        <w:rPr>
          <w:rFonts w:ascii="Palatino Linotype" w:hAnsi="Palatino Linotype" w:cs="Arial"/>
        </w:rPr>
        <w:t>el</w:t>
      </w:r>
      <w:r w:rsidRPr="001A2DAB">
        <w:rPr>
          <w:rFonts w:ascii="Palatino Linotype" w:hAnsi="Palatino Linotype" w:cs="Arial"/>
        </w:rPr>
        <w:t xml:space="preserve"> </w:t>
      </w:r>
      <w:r>
        <w:rPr>
          <w:rFonts w:ascii="Palatino Linotype" w:hAnsi="Palatino Linotype" w:cs="Arial"/>
        </w:rPr>
        <w:t>Derecho de Acceso a la Información (</w:t>
      </w:r>
      <w:r w:rsidRPr="001A2DAB">
        <w:rPr>
          <w:rFonts w:ascii="Palatino Linotype" w:hAnsi="Palatino Linotype" w:cs="Arial"/>
        </w:rPr>
        <w:t>DAI</w:t>
      </w:r>
      <w:r>
        <w:rPr>
          <w:rFonts w:ascii="Palatino Linotype" w:hAnsi="Palatino Linotype" w:cs="Arial"/>
        </w:rPr>
        <w:t>)</w:t>
      </w:r>
      <w:r w:rsidRPr="001A2DAB">
        <w:rPr>
          <w:rFonts w:ascii="Palatino Linotype" w:hAnsi="Palatino Linotype" w:cs="Arial"/>
        </w:rPr>
        <w:t>, tiene una justificación clara y precisa que se deriva de un aspecto de singular importancia, ya que lo que tratamos y pretendemos resolver consiste en el ejercicio de un derecho humano constitucional y convencionalmente reconocido.</w:t>
      </w:r>
    </w:p>
    <w:p w:rsidR="001B6597" w:rsidRPr="001A2DAB" w:rsidRDefault="001B6597" w:rsidP="001B6597">
      <w:pPr>
        <w:pStyle w:val="Prrafodelista"/>
        <w:spacing w:line="360" w:lineRule="auto"/>
        <w:rPr>
          <w:rFonts w:ascii="Palatino Linotype" w:hAnsi="Palatino Linotype" w:cs="Arial"/>
        </w:rPr>
      </w:pPr>
    </w:p>
    <w:p w:rsidR="001B6597" w:rsidRPr="001A2DAB"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1A2DAB">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1A2DAB">
        <w:rPr>
          <w:rFonts w:ascii="Palatino Linotype" w:hAnsi="Palatino Linotype" w:cs="Arial"/>
          <w:b/>
        </w:rPr>
        <w:t>garantía de los derechos humanos</w:t>
      </w:r>
      <w:r w:rsidRPr="001A2DAB">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1B6597" w:rsidRPr="007F0A7B" w:rsidRDefault="001B6597" w:rsidP="001B6597">
      <w:pPr>
        <w:pStyle w:val="Prrafodelista"/>
        <w:spacing w:before="240" w:after="240" w:line="360" w:lineRule="auto"/>
        <w:ind w:left="0" w:right="49"/>
        <w:jc w:val="both"/>
        <w:rPr>
          <w:rFonts w:ascii="Palatino Linotype" w:hAnsi="Palatino Linotype" w:cs="Arial"/>
        </w:rPr>
      </w:pPr>
    </w:p>
    <w:p w:rsidR="001B6597" w:rsidRPr="0094352B"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este sentido el Dr. Miguel Carbonell ha señalado que:</w:t>
      </w:r>
      <w:r>
        <w:rPr>
          <w:rFonts w:ascii="Palatino Linotype" w:hAnsi="Palatino Linotype" w:cs="Arial"/>
        </w:rPr>
        <w:t xml:space="preserve"> </w:t>
      </w:r>
      <w:r w:rsidRPr="0094352B">
        <w:rPr>
          <w:rFonts w:ascii="Palatino Linotype" w:hAnsi="Palatino Linotype" w:cs="Arial"/>
        </w:rPr>
        <w:t xml:space="preserve">“Queda claro, en consecuencia, que las obligaciones de promoción, respeto, protección y garantía de los derechos corren a cargo de todos los poderes, incluso </w:t>
      </w:r>
      <w:r w:rsidRPr="0094352B">
        <w:rPr>
          <w:rFonts w:ascii="Palatino Linotype" w:hAnsi="Palatino Linotype" w:cs="Arial"/>
          <w:b/>
        </w:rPr>
        <w:t>considerando que algún nivel de gobierno tenga obligaciones reforzadas hacia ciertos derechos.</w:t>
      </w:r>
      <w:r w:rsidRPr="0094352B">
        <w:rPr>
          <w:rFonts w:ascii="Palatino Linotype" w:hAnsi="Palatino Linotype" w:cs="Arial"/>
        </w:rPr>
        <w:t xml:space="preserve"> A partir </w:t>
      </w:r>
      <w:r w:rsidRPr="0094352B">
        <w:rPr>
          <w:rFonts w:ascii="Palatino Linotype" w:hAnsi="Palatino Linotype" w:cs="Arial"/>
        </w:rPr>
        <w:lastRenderedPageBreak/>
        <w:t xml:space="preserve">de tales deberes generales, podemos afirmar que las autoridades de todos los niveles de gobierno también tienen la obligación positiva de </w:t>
      </w:r>
      <w:r w:rsidRPr="0094352B">
        <w:rPr>
          <w:rFonts w:ascii="Palatino Linotype" w:hAnsi="Palatino Linotype" w:cs="Arial"/>
          <w:b/>
        </w:rPr>
        <w:t>tomar todas las medidas que sean pertinentes para tutelar y hacer eficaz un derecho</w:t>
      </w:r>
      <w:r w:rsidRPr="0094352B">
        <w:rPr>
          <w:rFonts w:ascii="Palatino Linotype" w:hAnsi="Palatino Linotype" w:cs="Arial"/>
        </w:rPr>
        <w:t>”.</w:t>
      </w:r>
      <w:r w:rsidRPr="00924DF4">
        <w:rPr>
          <w:rStyle w:val="Refdenotaalpie"/>
          <w:rFonts w:ascii="Palatino Linotype" w:hAnsi="Palatino Linotype" w:cs="Arial"/>
        </w:rPr>
        <w:footnoteReference w:id="1"/>
      </w:r>
    </w:p>
    <w:p w:rsidR="001B6597" w:rsidRDefault="001B6597" w:rsidP="001B6597">
      <w:pPr>
        <w:pStyle w:val="Prrafodelista"/>
        <w:spacing w:line="360" w:lineRule="auto"/>
        <w:ind w:left="0"/>
        <w:jc w:val="both"/>
        <w:rPr>
          <w:rFonts w:ascii="Palatino Linotype" w:hAnsi="Palatino Linotype" w:cs="Arial"/>
        </w:rPr>
      </w:pP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A371C9" w:rsidRDefault="00A371C9" w:rsidP="001B6597">
      <w:pPr>
        <w:pStyle w:val="Prrafodelista"/>
        <w:spacing w:line="360" w:lineRule="auto"/>
        <w:ind w:left="851" w:right="616"/>
        <w:jc w:val="both"/>
        <w:rPr>
          <w:rFonts w:ascii="Palatino Linotype" w:hAnsi="Palatino Linotype" w:cs="Arial"/>
        </w:rPr>
      </w:pPr>
    </w:p>
    <w:p w:rsidR="001B6597" w:rsidRPr="00A371C9" w:rsidRDefault="001B6597" w:rsidP="001B6597">
      <w:pPr>
        <w:pStyle w:val="Prrafodelista"/>
        <w:spacing w:line="360" w:lineRule="auto"/>
        <w:ind w:left="851" w:right="616"/>
        <w:jc w:val="both"/>
        <w:rPr>
          <w:rFonts w:ascii="Palatino Linotype" w:hAnsi="Palatino Linotype" w:cs="Arial"/>
          <w:i/>
          <w:sz w:val="22"/>
          <w:szCs w:val="22"/>
        </w:rPr>
      </w:pPr>
      <w:r>
        <w:rPr>
          <w:rFonts w:ascii="Palatino Linotype" w:hAnsi="Palatino Linotype" w:cs="Arial"/>
        </w:rPr>
        <w:t>“</w:t>
      </w:r>
      <w:r w:rsidRPr="00A371C9">
        <w:rPr>
          <w:rFonts w:ascii="Palatino Linotype" w:hAnsi="Palatino Linotype" w:cs="Arial"/>
          <w:i/>
          <w:sz w:val="22"/>
          <w:szCs w:val="22"/>
        </w:rPr>
        <w:t>Artículo 185. El instituto resolverá el recurso de revisión conforme a lo siguiente:</w:t>
      </w:r>
    </w:p>
    <w:p w:rsidR="001B6597" w:rsidRPr="00A371C9" w:rsidRDefault="001B6597" w:rsidP="001B6597">
      <w:pPr>
        <w:pStyle w:val="Prrafodelista"/>
        <w:spacing w:line="360" w:lineRule="auto"/>
        <w:ind w:left="851" w:right="616"/>
        <w:jc w:val="both"/>
        <w:rPr>
          <w:rFonts w:ascii="Palatino Linotype" w:hAnsi="Palatino Linotype" w:cs="Arial"/>
          <w:i/>
          <w:sz w:val="22"/>
          <w:szCs w:val="22"/>
        </w:rPr>
      </w:pPr>
      <w:r w:rsidRPr="00A371C9">
        <w:rPr>
          <w:rFonts w:ascii="Palatino Linotype" w:hAnsi="Palatino Linotype" w:cs="Arial"/>
          <w:i/>
          <w:sz w:val="22"/>
          <w:szCs w:val="22"/>
        </w:rPr>
        <w:t xml:space="preserve">(…) </w:t>
      </w:r>
    </w:p>
    <w:p w:rsidR="001B6597" w:rsidRPr="00A371C9" w:rsidRDefault="001B6597" w:rsidP="001B6597">
      <w:pPr>
        <w:pStyle w:val="Prrafodelista"/>
        <w:spacing w:line="360" w:lineRule="auto"/>
        <w:ind w:left="851" w:right="616"/>
        <w:jc w:val="both"/>
        <w:rPr>
          <w:rFonts w:ascii="Palatino Linotype" w:hAnsi="Palatino Linotype" w:cs="Arial"/>
          <w:i/>
          <w:sz w:val="22"/>
          <w:szCs w:val="22"/>
        </w:rPr>
      </w:pPr>
      <w:r w:rsidRPr="00A371C9">
        <w:rPr>
          <w:rFonts w:ascii="Palatino Linotype" w:hAnsi="Palatino Linotype" w:cs="Arial"/>
          <w:i/>
          <w:sz w:val="22"/>
          <w:szCs w:val="22"/>
        </w:rPr>
        <w:t xml:space="preserve">V. La o el Comisionado ponente podrá determinar la celebración de audiencias con las partes durante la sustanciación del proceso. </w:t>
      </w:r>
    </w:p>
    <w:p w:rsidR="001B6597" w:rsidRPr="00A371C9" w:rsidRDefault="001B6597" w:rsidP="001B6597">
      <w:pPr>
        <w:pStyle w:val="Prrafodelista"/>
        <w:spacing w:line="360" w:lineRule="auto"/>
        <w:ind w:left="851" w:right="616"/>
        <w:jc w:val="both"/>
        <w:rPr>
          <w:rFonts w:ascii="Palatino Linotype" w:hAnsi="Palatino Linotype" w:cs="Arial"/>
          <w:i/>
          <w:sz w:val="22"/>
          <w:szCs w:val="22"/>
        </w:rPr>
      </w:pPr>
      <w:r w:rsidRPr="00A371C9">
        <w:rPr>
          <w:rFonts w:ascii="Palatino Linotype" w:hAnsi="Palatino Linotype" w:cs="Arial"/>
          <w:i/>
          <w:sz w:val="22"/>
          <w:szCs w:val="22"/>
        </w:rPr>
        <w:t>(…) “</w:t>
      </w:r>
    </w:p>
    <w:p w:rsidR="001B6597" w:rsidRPr="0094352B" w:rsidRDefault="001B6597" w:rsidP="001B6597">
      <w:pPr>
        <w:spacing w:line="360" w:lineRule="auto"/>
        <w:jc w:val="both"/>
        <w:rPr>
          <w:rFonts w:ascii="Palatino Linotype" w:hAnsi="Palatino Linotype" w:cs="Arial"/>
        </w:rPr>
      </w:pP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 xml:space="preserve">En relación con lo anterior, considero que la ponencia </w:t>
      </w:r>
      <w:proofErr w:type="spellStart"/>
      <w:r>
        <w:rPr>
          <w:rFonts w:ascii="Palatino Linotype" w:hAnsi="Palatino Linotype" w:cs="Arial"/>
        </w:rPr>
        <w:t>resolutora</w:t>
      </w:r>
      <w:proofErr w:type="spellEnd"/>
      <w:r>
        <w:rPr>
          <w:rFonts w:ascii="Palatino Linotype" w:hAnsi="Palatino Linotype" w:cs="Arial"/>
        </w:rPr>
        <w:t xml:space="preserve"> debió de pronunciarse sobre la naturaleza de lo requerido sin ningún tipo de ambigüedad, es decir, tuvo que determinar si la información tenía el carácter de reserva o no, sin dejarlo al arbitrio del sujeto obligado, efectuando dicho análisis atendiendo a </w:t>
      </w:r>
      <w:r>
        <w:rPr>
          <w:rFonts w:ascii="Palatino Linotype" w:hAnsi="Palatino Linotype" w:cs="Arial"/>
        </w:rPr>
        <w:lastRenderedPageBreak/>
        <w:t xml:space="preserve">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w:t>
      </w:r>
      <w:r w:rsidRPr="00A97A66">
        <w:rPr>
          <w:rFonts w:ascii="Palatino Linotype" w:hAnsi="Palatino Linotype" w:cs="Arial"/>
        </w:rPr>
        <w:t xml:space="preserve">con el propósito de dar mayor certeza a la resolución dictada o por el contrario conocer fehacientemente si la información en posesión del sujeto obligado es susceptible de reservarse. </w:t>
      </w:r>
    </w:p>
    <w:p w:rsidR="00360437" w:rsidRDefault="00360437" w:rsidP="003604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360437" w:rsidRDefault="0036043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En el caso que nos ocupa analizar, emito voto particular derivado de la naturaleza de la información requerida, dejando al Sujeto Obligado la responsabilidad de determinar si la documentación requerida es susceptible de clasificarse como reser</w:t>
      </w:r>
      <w:r w:rsidR="006C31C4">
        <w:rPr>
          <w:rFonts w:ascii="Palatino Linotype" w:hAnsi="Palatino Linotype" w:cs="Arial"/>
        </w:rPr>
        <w:t xml:space="preserve">vada. </w:t>
      </w:r>
    </w:p>
    <w:p w:rsidR="00BE65E6" w:rsidRPr="00BE65E6" w:rsidRDefault="00BE65E6" w:rsidP="00BE65E6">
      <w:pPr>
        <w:pStyle w:val="Prrafodelista"/>
        <w:rPr>
          <w:rFonts w:ascii="Palatino Linotype" w:hAnsi="Palatino Linotype" w:cs="Arial"/>
        </w:rPr>
      </w:pPr>
    </w:p>
    <w:p w:rsidR="001B6597"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 xml:space="preserve">Una vez expuesto lo anterior, concluyo mi voto particular en la resolución materia del mismo. </w:t>
      </w:r>
    </w:p>
    <w:p w:rsidR="001B6597" w:rsidRDefault="001B6597" w:rsidP="001B6597">
      <w:pPr>
        <w:pStyle w:val="Prrafodelista"/>
        <w:spacing w:line="360" w:lineRule="auto"/>
        <w:rPr>
          <w:rFonts w:ascii="Palatino Linotype" w:hAnsi="Palatino Linotype" w:cs="Arial"/>
        </w:rPr>
      </w:pPr>
    </w:p>
    <w:p w:rsidR="001B6597" w:rsidRPr="00A97A66" w:rsidRDefault="001B6597" w:rsidP="001B6597">
      <w:pPr>
        <w:spacing w:line="360" w:lineRule="auto"/>
        <w:jc w:val="both"/>
        <w:rPr>
          <w:rFonts w:ascii="Palatino Linotype" w:hAnsi="Palatino Linotype" w:cs="Arial"/>
        </w:rPr>
      </w:pPr>
    </w:p>
    <w:p w:rsidR="001B6597" w:rsidRDefault="001B6597" w:rsidP="001B6597">
      <w:pPr>
        <w:pStyle w:val="Sinespaciado"/>
        <w:spacing w:line="360" w:lineRule="auto"/>
        <w:jc w:val="center"/>
        <w:rPr>
          <w:rFonts w:ascii="Palatino Linotype" w:hAnsi="Palatino Linotype"/>
          <w:b/>
          <w:szCs w:val="24"/>
        </w:rPr>
      </w:pPr>
      <w:r w:rsidRPr="0094352B">
        <w:rPr>
          <w:rFonts w:ascii="Palatino Linotype" w:hAnsi="Palatino Linotype"/>
          <w:b/>
          <w:szCs w:val="24"/>
        </w:rPr>
        <w:t>JOSÉ GUADALUPE LUNA HERNÁNDEZ</w:t>
      </w:r>
    </w:p>
    <w:p w:rsidR="001B6597" w:rsidRDefault="001B6597" w:rsidP="001B6597">
      <w:pPr>
        <w:spacing w:line="360" w:lineRule="auto"/>
        <w:jc w:val="center"/>
        <w:rPr>
          <w:rFonts w:ascii="Palatino Linotype" w:hAnsi="Palatino Linotype"/>
          <w:b/>
        </w:rPr>
      </w:pPr>
      <w:r w:rsidRPr="0094352B">
        <w:rPr>
          <w:rFonts w:ascii="Palatino Linotype" w:hAnsi="Palatino Linotype"/>
          <w:b/>
        </w:rPr>
        <w:t>COMISIONADO</w:t>
      </w:r>
    </w:p>
    <w:p w:rsidR="001B6597" w:rsidRPr="004F719D" w:rsidRDefault="006C31C4" w:rsidP="00BE65E6">
      <w:pPr>
        <w:spacing w:line="360" w:lineRule="auto"/>
        <w:jc w:val="center"/>
        <w:rPr>
          <w:rFonts w:ascii="Palatino Linotype" w:hAnsi="Palatino Linotype" w:cs="Arial"/>
          <w:b/>
        </w:rPr>
      </w:pPr>
      <w:r>
        <w:rPr>
          <w:rFonts w:ascii="Palatino Linotype" w:hAnsi="Palatino Linotype"/>
          <w:b/>
        </w:rPr>
        <w:t>(Rúbrica)</w:t>
      </w:r>
    </w:p>
    <w:p w:rsidR="00D02E7A" w:rsidRPr="001B6597" w:rsidRDefault="00D02E7A" w:rsidP="001B6597"/>
    <w:sectPr w:rsidR="00D02E7A" w:rsidRPr="001B6597" w:rsidSect="00456B87">
      <w:headerReference w:type="even" r:id="rId7"/>
      <w:headerReference w:type="default" r:id="rId8"/>
      <w:footerReference w:type="default" r:id="rId9"/>
      <w:headerReference w:type="first" r:id="rId1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2B3" w:rsidRDefault="002952B3" w:rsidP="00E706DA">
      <w:r>
        <w:separator/>
      </w:r>
    </w:p>
  </w:endnote>
  <w:endnote w:type="continuationSeparator" w:id="0">
    <w:p w:rsidR="002952B3" w:rsidRDefault="002952B3" w:rsidP="00E7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A7565F">
              <w:rPr>
                <w:rFonts w:ascii="Palatino Linotype" w:hAnsi="Palatino Linotype"/>
                <w:b/>
                <w:bCs/>
                <w:noProof/>
                <w:sz w:val="20"/>
                <w:szCs w:val="20"/>
              </w:rPr>
              <w:t>10</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A7565F">
              <w:rPr>
                <w:rFonts w:ascii="Palatino Linotype" w:hAnsi="Palatino Linotype"/>
                <w:b/>
                <w:bCs/>
                <w:noProof/>
                <w:sz w:val="20"/>
                <w:szCs w:val="20"/>
              </w:rPr>
              <w:t>10</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2B3" w:rsidRDefault="002952B3" w:rsidP="00E706DA">
      <w:r>
        <w:separator/>
      </w:r>
    </w:p>
  </w:footnote>
  <w:footnote w:type="continuationSeparator" w:id="0">
    <w:p w:rsidR="002952B3" w:rsidRDefault="002952B3" w:rsidP="00E706DA">
      <w:r>
        <w:continuationSeparator/>
      </w:r>
    </w:p>
  </w:footnote>
  <w:footnote w:id="1">
    <w:p w:rsidR="001B6597" w:rsidRDefault="001B6597" w:rsidP="001B6597">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2952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2952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2952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1">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8"/>
  </w:num>
  <w:num w:numId="5">
    <w:abstractNumId w:val="10"/>
  </w:num>
  <w:num w:numId="6">
    <w:abstractNumId w:val="12"/>
  </w:num>
  <w:num w:numId="7">
    <w:abstractNumId w:val="16"/>
  </w:num>
  <w:num w:numId="8">
    <w:abstractNumId w:val="13"/>
  </w:num>
  <w:num w:numId="9">
    <w:abstractNumId w:val="19"/>
  </w:num>
  <w:num w:numId="10">
    <w:abstractNumId w:val="3"/>
  </w:num>
  <w:num w:numId="11">
    <w:abstractNumId w:val="18"/>
  </w:num>
  <w:num w:numId="12">
    <w:abstractNumId w:val="7"/>
  </w:num>
  <w:num w:numId="13">
    <w:abstractNumId w:val="9"/>
  </w:num>
  <w:num w:numId="14">
    <w:abstractNumId w:val="5"/>
  </w:num>
  <w:num w:numId="15">
    <w:abstractNumId w:val="0"/>
  </w:num>
  <w:num w:numId="16">
    <w:abstractNumId w:val="17"/>
  </w:num>
  <w:num w:numId="17">
    <w:abstractNumId w:val="2"/>
  </w:num>
  <w:num w:numId="18">
    <w:abstractNumId w:val="21"/>
  </w:num>
  <w:num w:numId="19">
    <w:abstractNumId w:val="14"/>
  </w:num>
  <w:num w:numId="20">
    <w:abstractNumId w:val="20"/>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73F0D"/>
    <w:rsid w:val="000951B4"/>
    <w:rsid w:val="0009696B"/>
    <w:rsid w:val="00097F15"/>
    <w:rsid w:val="000A620C"/>
    <w:rsid w:val="000A770B"/>
    <w:rsid w:val="000A7B66"/>
    <w:rsid w:val="000F0579"/>
    <w:rsid w:val="000F6CBB"/>
    <w:rsid w:val="00106DB8"/>
    <w:rsid w:val="00117841"/>
    <w:rsid w:val="00122625"/>
    <w:rsid w:val="00127BDE"/>
    <w:rsid w:val="00145D32"/>
    <w:rsid w:val="00172CB0"/>
    <w:rsid w:val="001B6597"/>
    <w:rsid w:val="001D3F34"/>
    <w:rsid w:val="002006FF"/>
    <w:rsid w:val="002036ED"/>
    <w:rsid w:val="00232B6D"/>
    <w:rsid w:val="00232CA3"/>
    <w:rsid w:val="002620E9"/>
    <w:rsid w:val="00281310"/>
    <w:rsid w:val="002952B3"/>
    <w:rsid w:val="002B1625"/>
    <w:rsid w:val="002D0298"/>
    <w:rsid w:val="002E7894"/>
    <w:rsid w:val="003007A7"/>
    <w:rsid w:val="00302274"/>
    <w:rsid w:val="00360437"/>
    <w:rsid w:val="003605A5"/>
    <w:rsid w:val="003747A5"/>
    <w:rsid w:val="003B44CB"/>
    <w:rsid w:val="003C4797"/>
    <w:rsid w:val="003C52E7"/>
    <w:rsid w:val="003D6E63"/>
    <w:rsid w:val="00410C93"/>
    <w:rsid w:val="00441939"/>
    <w:rsid w:val="004472A9"/>
    <w:rsid w:val="0045568A"/>
    <w:rsid w:val="00456B87"/>
    <w:rsid w:val="0046491C"/>
    <w:rsid w:val="00476094"/>
    <w:rsid w:val="00511A5B"/>
    <w:rsid w:val="00547195"/>
    <w:rsid w:val="005474BE"/>
    <w:rsid w:val="00556CD4"/>
    <w:rsid w:val="00570595"/>
    <w:rsid w:val="005833D9"/>
    <w:rsid w:val="005A3267"/>
    <w:rsid w:val="005C0E03"/>
    <w:rsid w:val="005C2977"/>
    <w:rsid w:val="005D7E6E"/>
    <w:rsid w:val="005F5DBB"/>
    <w:rsid w:val="00602B26"/>
    <w:rsid w:val="00606E42"/>
    <w:rsid w:val="00634736"/>
    <w:rsid w:val="006728FD"/>
    <w:rsid w:val="006773D4"/>
    <w:rsid w:val="006C31C4"/>
    <w:rsid w:val="00717C0D"/>
    <w:rsid w:val="0072136B"/>
    <w:rsid w:val="0073790E"/>
    <w:rsid w:val="00770016"/>
    <w:rsid w:val="00770B87"/>
    <w:rsid w:val="00790E37"/>
    <w:rsid w:val="00794A84"/>
    <w:rsid w:val="007A23D1"/>
    <w:rsid w:val="0082270E"/>
    <w:rsid w:val="008275ED"/>
    <w:rsid w:val="00850252"/>
    <w:rsid w:val="0085533E"/>
    <w:rsid w:val="00856FA1"/>
    <w:rsid w:val="008822B3"/>
    <w:rsid w:val="00895300"/>
    <w:rsid w:val="008B03B6"/>
    <w:rsid w:val="008C13C7"/>
    <w:rsid w:val="008D7AF8"/>
    <w:rsid w:val="008F3E81"/>
    <w:rsid w:val="008F735D"/>
    <w:rsid w:val="008F7578"/>
    <w:rsid w:val="00900E75"/>
    <w:rsid w:val="00902248"/>
    <w:rsid w:val="00914A41"/>
    <w:rsid w:val="00920A6F"/>
    <w:rsid w:val="00926781"/>
    <w:rsid w:val="00957232"/>
    <w:rsid w:val="00996597"/>
    <w:rsid w:val="009C3135"/>
    <w:rsid w:val="009C41CC"/>
    <w:rsid w:val="009E7FFA"/>
    <w:rsid w:val="00A371C9"/>
    <w:rsid w:val="00A632D6"/>
    <w:rsid w:val="00A63717"/>
    <w:rsid w:val="00A7565F"/>
    <w:rsid w:val="00AB023D"/>
    <w:rsid w:val="00AC381E"/>
    <w:rsid w:val="00AD5651"/>
    <w:rsid w:val="00AE1193"/>
    <w:rsid w:val="00AF3716"/>
    <w:rsid w:val="00B02869"/>
    <w:rsid w:val="00B10A66"/>
    <w:rsid w:val="00B10C1A"/>
    <w:rsid w:val="00B4109D"/>
    <w:rsid w:val="00B46F4B"/>
    <w:rsid w:val="00BC7B0C"/>
    <w:rsid w:val="00BE3B45"/>
    <w:rsid w:val="00BE65E6"/>
    <w:rsid w:val="00C03D41"/>
    <w:rsid w:val="00C128C9"/>
    <w:rsid w:val="00C526F2"/>
    <w:rsid w:val="00C91180"/>
    <w:rsid w:val="00CE0823"/>
    <w:rsid w:val="00CE60A9"/>
    <w:rsid w:val="00D01FF9"/>
    <w:rsid w:val="00D02E7A"/>
    <w:rsid w:val="00D12DE7"/>
    <w:rsid w:val="00D26449"/>
    <w:rsid w:val="00D33AF9"/>
    <w:rsid w:val="00D64627"/>
    <w:rsid w:val="00D72985"/>
    <w:rsid w:val="00D73077"/>
    <w:rsid w:val="00D7508B"/>
    <w:rsid w:val="00DB4794"/>
    <w:rsid w:val="00DF6F7E"/>
    <w:rsid w:val="00E67B8D"/>
    <w:rsid w:val="00E706DA"/>
    <w:rsid w:val="00E83E93"/>
    <w:rsid w:val="00EA4F61"/>
    <w:rsid w:val="00EB0906"/>
    <w:rsid w:val="00EB3B6B"/>
    <w:rsid w:val="00ED4A1D"/>
    <w:rsid w:val="00F130BF"/>
    <w:rsid w:val="00F21D90"/>
    <w:rsid w:val="00F53A7A"/>
    <w:rsid w:val="00F65F7E"/>
    <w:rsid w:val="00F857BC"/>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65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uiPriority w:val="9"/>
    <w:qFormat/>
    <w:rsid w:val="00232B6D"/>
    <w:pPr>
      <w:keepNext/>
      <w:keepLines/>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semiHidden/>
    <w:unhideWhenUsed/>
    <w:qFormat/>
    <w:rsid w:val="00232B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tabs>
        <w:tab w:val="center" w:pos="4419"/>
        <w:tab w:val="right" w:pos="8838"/>
      </w:tabs>
    </w:p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tabs>
        <w:tab w:val="center" w:pos="4419"/>
        <w:tab w:val="right" w:pos="8838"/>
      </w:tabs>
    </w:p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B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1876</Words>
  <Characters>10323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2018-01-11T00:56:00Z</cp:lastPrinted>
  <dcterms:created xsi:type="dcterms:W3CDTF">2018-10-22T18:01:00Z</dcterms:created>
  <dcterms:modified xsi:type="dcterms:W3CDTF">2019-02-07T18:14:00Z</dcterms:modified>
</cp:coreProperties>
</file>